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0001" w:rsidRDefault="00632987">
      <w:pPr>
        <w:rPr>
          <w:color w:val="000000" w:themeColor="text1"/>
        </w:rPr>
      </w:pPr>
      <w:r>
        <w:rPr>
          <w:color w:val="000000" w:themeColor="text1"/>
        </w:rPr>
        <w:t xml:space="preserve">   </w:t>
      </w:r>
    </w:p>
    <w:p w:rsidR="00632987" w:rsidRPr="00632987" w:rsidRDefault="00632987" w:rsidP="00632987">
      <w:pPr>
        <w:jc w:val="center"/>
        <w:rPr>
          <w:color w:val="000000" w:themeColor="text1"/>
          <w:sz w:val="28"/>
          <w:szCs w:val="28"/>
        </w:rPr>
      </w:pPr>
      <w:r w:rsidRPr="00632987">
        <w:rPr>
          <w:color w:val="000000" w:themeColor="text1"/>
          <w:sz w:val="28"/>
          <w:szCs w:val="28"/>
        </w:rPr>
        <w:t>TP 4 BROYAGE</w:t>
      </w:r>
    </w:p>
    <w:p w:rsidR="00350001" w:rsidRPr="00632987" w:rsidRDefault="00350001" w:rsidP="00350001">
      <w:pPr>
        <w:rPr>
          <w:color w:val="000000" w:themeColor="text1"/>
        </w:rPr>
      </w:pPr>
    </w:p>
    <w:p w:rsidR="00350001" w:rsidRPr="00632987" w:rsidRDefault="00632987" w:rsidP="00B877C7">
      <w:pPr>
        <w:ind w:left="360"/>
        <w:jc w:val="both"/>
        <w:rPr>
          <w:rFonts w:ascii="Andalus" w:hAnsi="Andalus" w:cs="Andalus"/>
          <w:b/>
          <w:bCs/>
          <w:color w:val="000000" w:themeColor="text1"/>
        </w:rPr>
      </w:pPr>
      <w:r w:rsidRPr="00632987">
        <w:rPr>
          <w:rFonts w:ascii="Andalus" w:hAnsi="Andalus" w:cs="Andalus"/>
          <w:b/>
          <w:bCs/>
          <w:color w:val="000000" w:themeColor="text1"/>
          <w:sz w:val="32"/>
          <w:szCs w:val="32"/>
        </w:rPr>
        <w:t>But</w:t>
      </w:r>
      <w:r w:rsidR="00350001" w:rsidRPr="00632987">
        <w:rPr>
          <w:rFonts w:ascii="Andalus" w:hAnsi="Andalus" w:cs="Andalus"/>
          <w:b/>
          <w:bCs/>
          <w:color w:val="000000" w:themeColor="text1"/>
          <w:sz w:val="32"/>
          <w:szCs w:val="32"/>
        </w:rPr>
        <w:t xml:space="preserve"> général </w:t>
      </w:r>
    </w:p>
    <w:p w:rsidR="00350001" w:rsidRPr="00632987" w:rsidRDefault="00350001" w:rsidP="00B877C7">
      <w:pPr>
        <w:jc w:val="both"/>
        <w:rPr>
          <w:rFonts w:ascii="Andalus" w:hAnsi="Andalus" w:cs="Andalus"/>
          <w:color w:val="000000" w:themeColor="text1"/>
          <w:sz w:val="24"/>
          <w:szCs w:val="24"/>
          <w:shd w:val="clear" w:color="auto" w:fill="FFFFFF"/>
        </w:rPr>
      </w:pPr>
      <w:r w:rsidRPr="00632987">
        <w:rPr>
          <w:rFonts w:ascii="Andalus" w:hAnsi="Andalus" w:cs="Andalus"/>
          <w:b/>
          <w:bCs/>
          <w:color w:val="000000" w:themeColor="text1"/>
          <w:sz w:val="24"/>
          <w:szCs w:val="24"/>
          <w:shd w:val="clear" w:color="auto" w:fill="FFFFFF"/>
        </w:rPr>
        <w:t xml:space="preserve">   </w:t>
      </w:r>
      <w:r w:rsidRPr="00632987">
        <w:rPr>
          <w:rFonts w:ascii="Andalus" w:hAnsi="Andalus" w:cs="Andalus"/>
          <w:color w:val="000000" w:themeColor="text1"/>
          <w:sz w:val="24"/>
          <w:szCs w:val="24"/>
          <w:shd w:val="clear" w:color="auto" w:fill="FFFFFF"/>
        </w:rPr>
        <w:t>Le but sera de présenter aux nous (les étudiants), les instruments qui peuvent être utilisés pour analyser et évaluer différents paramètres du minerai</w:t>
      </w:r>
    </w:p>
    <w:p w:rsidR="00350001" w:rsidRPr="00632987" w:rsidRDefault="00632987" w:rsidP="00B877C7">
      <w:pPr>
        <w:ind w:left="360"/>
        <w:jc w:val="both"/>
        <w:rPr>
          <w:rFonts w:cs="Andalus"/>
          <w:b/>
          <w:bCs/>
          <w:color w:val="000000" w:themeColor="text1"/>
          <w:sz w:val="24"/>
          <w:szCs w:val="24"/>
          <w:shd w:val="clear" w:color="auto" w:fill="FFFFFF"/>
        </w:rPr>
      </w:pPr>
      <w:r w:rsidRPr="00632987">
        <w:rPr>
          <w:rFonts w:ascii="Andalus" w:hAnsi="Andalus" w:cs="Andalus"/>
          <w:b/>
          <w:bCs/>
          <w:color w:val="000000" w:themeColor="text1"/>
          <w:sz w:val="32"/>
          <w:szCs w:val="32"/>
          <w:shd w:val="clear" w:color="auto" w:fill="FFFFFF"/>
        </w:rPr>
        <w:t>But</w:t>
      </w:r>
      <w:r w:rsidR="00350001" w:rsidRPr="00632987">
        <w:rPr>
          <w:rFonts w:ascii="Andalus" w:hAnsi="Andalus" w:cs="Andalus"/>
          <w:b/>
          <w:bCs/>
          <w:color w:val="000000" w:themeColor="text1"/>
          <w:sz w:val="32"/>
          <w:szCs w:val="32"/>
          <w:shd w:val="clear" w:color="auto" w:fill="FFFFFF"/>
        </w:rPr>
        <w:t xml:space="preserve"> de TP </w:t>
      </w:r>
    </w:p>
    <w:p w:rsidR="00350001" w:rsidRPr="00632987" w:rsidRDefault="00350001" w:rsidP="00B877C7">
      <w:pPr>
        <w:pStyle w:val="NormalWeb"/>
        <w:shd w:val="clear" w:color="auto" w:fill="FFFFFF"/>
        <w:spacing w:before="150" w:beforeAutospacing="0" w:after="0" w:afterAutospacing="0"/>
        <w:jc w:val="both"/>
        <w:rPr>
          <w:rFonts w:ascii="Andalus" w:hAnsi="Andalus" w:cs="Andalus"/>
          <w:color w:val="000000" w:themeColor="text1"/>
        </w:rPr>
      </w:pPr>
      <w:r w:rsidRPr="00632987">
        <w:rPr>
          <w:rFonts w:ascii="Andalus" w:hAnsi="Andalus" w:cs="Andalus"/>
          <w:color w:val="000000" w:themeColor="text1"/>
        </w:rPr>
        <w:t xml:space="preserve">   Fragmentation du minerai : étude du processus de broyage, caractéristiques du broyeur, analyse granulométrique sur tamiseuse électrique (courbe granulométrique, rendement, fractions, teneur, …)</w:t>
      </w:r>
    </w:p>
    <w:p w:rsidR="00350001" w:rsidRPr="00632987" w:rsidRDefault="00632987" w:rsidP="00B877C7">
      <w:pPr>
        <w:pStyle w:val="NormalWeb"/>
        <w:numPr>
          <w:ilvl w:val="0"/>
          <w:numId w:val="2"/>
        </w:numPr>
        <w:shd w:val="clear" w:color="auto" w:fill="FFFFFF"/>
        <w:spacing w:before="150" w:beforeAutospacing="0" w:after="0" w:afterAutospacing="0"/>
        <w:jc w:val="both"/>
        <w:rPr>
          <w:rFonts w:asciiTheme="majorBidi" w:hAnsiTheme="majorBidi" w:cstheme="majorBidi"/>
          <w:b/>
          <w:bCs/>
          <w:color w:val="000000" w:themeColor="text1"/>
        </w:rPr>
      </w:pPr>
      <w:r>
        <w:rPr>
          <w:rFonts w:asciiTheme="majorBidi" w:hAnsiTheme="majorBidi" w:cstheme="majorBidi"/>
          <w:b/>
          <w:bCs/>
          <w:color w:val="000000" w:themeColor="text1"/>
        </w:rPr>
        <w:t>Définitions </w:t>
      </w:r>
    </w:p>
    <w:p w:rsidR="001702FD" w:rsidRPr="00632987" w:rsidRDefault="00350001" w:rsidP="00B877C7">
      <w:pPr>
        <w:pStyle w:val="NormalWeb"/>
        <w:shd w:val="clear" w:color="auto" w:fill="FFFFFF"/>
        <w:spacing w:before="150" w:after="0"/>
        <w:jc w:val="both"/>
        <w:rPr>
          <w:rFonts w:asciiTheme="minorHAnsi" w:hAnsiTheme="minorHAnsi" w:cs="Arial"/>
          <w:b/>
          <w:bCs/>
          <w:color w:val="000000" w:themeColor="text1"/>
        </w:rPr>
      </w:pPr>
      <w:r w:rsidRPr="00632987">
        <w:rPr>
          <w:rFonts w:ascii="Arial" w:hAnsi="Arial" w:cs="Arial"/>
          <w:color w:val="000000" w:themeColor="text1"/>
        </w:rPr>
        <w:t> </w:t>
      </w:r>
      <w:r w:rsidR="001702FD" w:rsidRPr="00632987">
        <w:rPr>
          <w:rFonts w:ascii="Arial" w:hAnsi="Arial" w:cs="Arial"/>
          <w:color w:val="000000" w:themeColor="text1"/>
        </w:rPr>
        <w:t xml:space="preserve">     </w:t>
      </w:r>
      <w:r w:rsidR="001702FD" w:rsidRPr="00632987">
        <w:rPr>
          <w:rFonts w:asciiTheme="majorBidi" w:hAnsiTheme="majorBidi" w:cstheme="majorBidi"/>
          <w:b/>
          <w:bCs/>
          <w:color w:val="000000" w:themeColor="text1"/>
        </w:rPr>
        <w:t>On Général</w:t>
      </w:r>
      <w:r w:rsidR="00632987">
        <w:rPr>
          <w:rFonts w:asciiTheme="minorHAnsi" w:hAnsiTheme="minorHAnsi" w:cs="Arial"/>
          <w:b/>
          <w:bCs/>
          <w:color w:val="000000" w:themeColor="text1"/>
        </w:rPr>
        <w:t> </w:t>
      </w:r>
    </w:p>
    <w:p w:rsidR="001702FD" w:rsidRPr="00632987" w:rsidRDefault="001702FD" w:rsidP="00B877C7">
      <w:pPr>
        <w:pStyle w:val="NormalWeb"/>
        <w:shd w:val="clear" w:color="auto" w:fill="FFFFFF"/>
        <w:spacing w:before="150" w:after="0"/>
        <w:jc w:val="both"/>
        <w:rPr>
          <w:rFonts w:ascii="Andalus" w:hAnsi="Andalus" w:cs="Andalus"/>
          <w:color w:val="000000" w:themeColor="text1"/>
        </w:rPr>
      </w:pPr>
      <w:r w:rsidRPr="00632987">
        <w:rPr>
          <w:rFonts w:ascii="Andalus" w:hAnsi="Andalus" w:cs="Andalus"/>
          <w:color w:val="000000" w:themeColor="text1"/>
        </w:rPr>
        <w:t xml:space="preserve">   Le broyage est une opération consistant à diviser un solide, pour augmenter sa surface spécifique (surface développée de la poudre par unité de masse) et donc sa réactivité.</w:t>
      </w:r>
    </w:p>
    <w:p w:rsidR="001702FD" w:rsidRPr="00632987" w:rsidRDefault="001702FD" w:rsidP="00B877C7">
      <w:pPr>
        <w:pStyle w:val="NormalWeb"/>
        <w:shd w:val="clear" w:color="auto" w:fill="FFFFFF"/>
        <w:spacing w:before="150" w:after="0"/>
        <w:jc w:val="both"/>
        <w:rPr>
          <w:rFonts w:ascii="Andalus" w:hAnsi="Andalus" w:cs="Andalus"/>
          <w:color w:val="000000" w:themeColor="text1"/>
        </w:rPr>
      </w:pPr>
      <w:r w:rsidRPr="00632987">
        <w:rPr>
          <w:rFonts w:ascii="Andalus" w:hAnsi="Andalus" w:cs="Andalus"/>
          <w:color w:val="000000" w:themeColor="text1"/>
        </w:rPr>
        <w:t xml:space="preserve">   En minéralurgie, le broyage se fait jusqu'à la maille de libération. La maille de libération d'un minéral est la taille au-dessous de laquelle une particule de minéral est parfaitement libérée, c'est-à-dire constituée uniquement de l'espèce minérale à valoriser.</w:t>
      </w:r>
    </w:p>
    <w:p w:rsidR="00350001" w:rsidRPr="00632987" w:rsidRDefault="001702FD" w:rsidP="00B877C7">
      <w:pPr>
        <w:pStyle w:val="NormalWeb"/>
        <w:shd w:val="clear" w:color="auto" w:fill="FFFFFF"/>
        <w:spacing w:before="150" w:beforeAutospacing="0" w:after="0" w:afterAutospacing="0"/>
        <w:jc w:val="both"/>
        <w:rPr>
          <w:rFonts w:ascii="Andalus" w:hAnsi="Andalus" w:cs="Andalus"/>
          <w:color w:val="000000" w:themeColor="text1"/>
        </w:rPr>
      </w:pPr>
      <w:r w:rsidRPr="00632987">
        <w:rPr>
          <w:rFonts w:ascii="Andalus" w:hAnsi="Andalus" w:cs="Andalus"/>
          <w:color w:val="000000" w:themeColor="text1"/>
        </w:rPr>
        <w:t xml:space="preserve">   On parle aussi de commination ou d'attrition selon l'intensité de l'opération.</w:t>
      </w:r>
    </w:p>
    <w:p w:rsidR="001702FD" w:rsidRPr="00632987" w:rsidRDefault="001702FD" w:rsidP="00B877C7">
      <w:pPr>
        <w:pStyle w:val="NormalWeb"/>
        <w:shd w:val="clear" w:color="auto" w:fill="FFFFFF"/>
        <w:spacing w:before="150" w:beforeAutospacing="0" w:after="0" w:afterAutospacing="0"/>
        <w:jc w:val="both"/>
        <w:rPr>
          <w:rFonts w:asciiTheme="majorBidi" w:hAnsiTheme="majorBidi" w:cstheme="majorBidi"/>
          <w:b/>
          <w:bCs/>
          <w:color w:val="000000" w:themeColor="text1"/>
          <w:sz w:val="20"/>
          <w:szCs w:val="20"/>
        </w:rPr>
      </w:pPr>
      <w:r w:rsidRPr="00632987">
        <w:rPr>
          <w:rFonts w:asciiTheme="majorBidi" w:hAnsiTheme="majorBidi" w:cstheme="majorBidi"/>
          <w:b/>
          <w:bCs/>
          <w:color w:val="000000" w:themeColor="text1"/>
          <w:sz w:val="20"/>
          <w:szCs w:val="20"/>
        </w:rPr>
        <w:t xml:space="preserve">Exemples pour le broyage : </w:t>
      </w:r>
    </w:p>
    <w:p w:rsidR="001702FD" w:rsidRPr="00632987" w:rsidRDefault="001702FD" w:rsidP="00B877C7">
      <w:pPr>
        <w:pStyle w:val="NormalWeb"/>
        <w:shd w:val="clear" w:color="auto" w:fill="FFFFFF"/>
        <w:spacing w:before="150" w:beforeAutospacing="0" w:after="0" w:afterAutospacing="0"/>
        <w:jc w:val="both"/>
        <w:rPr>
          <w:rFonts w:ascii="Arial" w:hAnsi="Arial" w:cs="Arial"/>
          <w:color w:val="000000" w:themeColor="text1"/>
        </w:rPr>
      </w:pPr>
      <w:r w:rsidRPr="00632987">
        <w:rPr>
          <w:rFonts w:ascii="Andalus" w:hAnsi="Andalus" w:cs="Andalus"/>
          <w:noProof/>
          <w:color w:val="000000" w:themeColor="text1"/>
        </w:rPr>
        <w:drawing>
          <wp:inline distT="0" distB="0" distL="0" distR="0">
            <wp:extent cx="5762625" cy="1485900"/>
            <wp:effectExtent l="19050" t="0" r="9525" b="0"/>
            <wp:docPr id="4" name="Image 4" descr="C:\Users\Bureau\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ureau\Desktop\1.PNG"/>
                    <pic:cNvPicPr>
                      <a:picLocks noChangeAspect="1" noChangeArrowheads="1"/>
                    </pic:cNvPicPr>
                  </pic:nvPicPr>
                  <pic:blipFill>
                    <a:blip r:embed="rId7"/>
                    <a:srcRect/>
                    <a:stretch>
                      <a:fillRect/>
                    </a:stretch>
                  </pic:blipFill>
                  <pic:spPr bwMode="auto">
                    <a:xfrm>
                      <a:off x="0" y="0"/>
                      <a:ext cx="5762625" cy="1485900"/>
                    </a:xfrm>
                    <a:prstGeom prst="rect">
                      <a:avLst/>
                    </a:prstGeom>
                    <a:noFill/>
                    <a:ln w="9525">
                      <a:noFill/>
                      <a:miter lim="800000"/>
                      <a:headEnd/>
                      <a:tailEnd/>
                    </a:ln>
                  </pic:spPr>
                </pic:pic>
              </a:graphicData>
            </a:graphic>
          </wp:inline>
        </w:drawing>
      </w:r>
    </w:p>
    <w:p w:rsidR="001702FD" w:rsidRPr="00632987" w:rsidRDefault="001702FD" w:rsidP="00B877C7">
      <w:pPr>
        <w:tabs>
          <w:tab w:val="left" w:pos="3285"/>
        </w:tabs>
        <w:ind w:left="360"/>
        <w:jc w:val="both"/>
        <w:rPr>
          <w:color w:val="000000" w:themeColor="text1"/>
        </w:rPr>
      </w:pPr>
    </w:p>
    <w:p w:rsidR="001702FD" w:rsidRPr="00632987" w:rsidRDefault="001702FD" w:rsidP="00B877C7">
      <w:pPr>
        <w:tabs>
          <w:tab w:val="left" w:pos="3285"/>
        </w:tabs>
        <w:ind w:left="360"/>
        <w:jc w:val="both"/>
        <w:rPr>
          <w:rFonts w:ascii="Andalus" w:hAnsi="Andalus" w:cs="Andalus"/>
          <w:color w:val="000000" w:themeColor="text1"/>
          <w:sz w:val="24"/>
          <w:szCs w:val="24"/>
          <w:shd w:val="clear" w:color="auto" w:fill="FFFFFF"/>
        </w:rPr>
      </w:pPr>
      <w:r w:rsidRPr="00632987">
        <w:rPr>
          <w:rFonts w:ascii="Andalus" w:hAnsi="Andalus" w:cs="Andalus"/>
          <w:color w:val="000000" w:themeColor="text1"/>
          <w:sz w:val="24"/>
          <w:szCs w:val="24"/>
          <w:shd w:val="clear" w:color="auto" w:fill="FFFFFF"/>
        </w:rPr>
        <w:t xml:space="preserve">   En chimie, en pharmacie et en cuisine, le broyage manuel se fait à l'aide d'un </w:t>
      </w:r>
      <w:hyperlink r:id="rId8" w:tooltip="Mortier et pilon" w:history="1">
        <w:r w:rsidRPr="00632987">
          <w:rPr>
            <w:rStyle w:val="Lienhypertexte"/>
            <w:rFonts w:ascii="Andalus" w:hAnsi="Andalus" w:cs="Andalus"/>
            <w:color w:val="000000" w:themeColor="text1"/>
            <w:sz w:val="24"/>
            <w:szCs w:val="24"/>
            <w:u w:val="none"/>
            <w:shd w:val="clear" w:color="auto" w:fill="FFFFFF"/>
          </w:rPr>
          <w:t>mortier et d'un pilon</w:t>
        </w:r>
      </w:hyperlink>
      <w:r w:rsidRPr="00632987">
        <w:rPr>
          <w:rFonts w:ascii="Andalus" w:hAnsi="Andalus" w:cs="Andalus"/>
          <w:color w:val="000000" w:themeColor="text1"/>
          <w:sz w:val="24"/>
          <w:szCs w:val="24"/>
          <w:shd w:val="clear" w:color="auto" w:fill="FFFFFF"/>
        </w:rPr>
        <w:t>. Les Japonais utilisent également un outil appelé </w:t>
      </w:r>
      <w:hyperlink r:id="rId9" w:tooltip="Yagen" w:history="1">
        <w:r w:rsidRPr="00632987">
          <w:rPr>
            <w:rStyle w:val="Lienhypertexte"/>
            <w:rFonts w:ascii="Andalus" w:hAnsi="Andalus" w:cs="Andalus"/>
            <w:color w:val="000000" w:themeColor="text1"/>
            <w:sz w:val="24"/>
            <w:szCs w:val="24"/>
            <w:u w:val="none"/>
            <w:shd w:val="clear" w:color="auto" w:fill="FFFFFF"/>
          </w:rPr>
          <w:t>yagen</w:t>
        </w:r>
      </w:hyperlink>
      <w:r w:rsidRPr="00632987">
        <w:rPr>
          <w:rFonts w:ascii="Andalus" w:hAnsi="Andalus" w:cs="Andalus"/>
          <w:color w:val="000000" w:themeColor="text1"/>
          <w:sz w:val="24"/>
          <w:szCs w:val="24"/>
          <w:shd w:val="clear" w:color="auto" w:fill="FFFFFF"/>
        </w:rPr>
        <w:t>.</w:t>
      </w:r>
    </w:p>
    <w:p w:rsidR="001702FD" w:rsidRPr="00632987" w:rsidRDefault="007D0CD0" w:rsidP="00B877C7">
      <w:pPr>
        <w:tabs>
          <w:tab w:val="left" w:pos="3285"/>
        </w:tabs>
        <w:ind w:left="360"/>
        <w:jc w:val="both"/>
        <w:rPr>
          <w:rFonts w:ascii="Andalus" w:hAnsi="Andalus" w:cs="Andalus"/>
          <w:color w:val="000000" w:themeColor="text1"/>
          <w:sz w:val="24"/>
          <w:szCs w:val="24"/>
          <w:shd w:val="clear" w:color="auto" w:fill="FFFFFF"/>
        </w:rPr>
      </w:pPr>
      <w:r w:rsidRPr="00632987">
        <w:rPr>
          <w:rFonts w:ascii="Andalus" w:hAnsi="Andalus" w:cs="Andalus"/>
          <w:color w:val="000000" w:themeColor="text1"/>
          <w:sz w:val="24"/>
          <w:szCs w:val="24"/>
          <w:shd w:val="clear" w:color="auto" w:fill="FFFFFF"/>
        </w:rPr>
        <w:t xml:space="preserve">   Yagen : </w:t>
      </w:r>
      <w:r w:rsidR="001702FD" w:rsidRPr="00632987">
        <w:rPr>
          <w:rFonts w:ascii="Andalus" w:hAnsi="Andalus" w:cs="Andalus"/>
          <w:color w:val="000000" w:themeColor="text1"/>
          <w:sz w:val="24"/>
          <w:szCs w:val="24"/>
          <w:shd w:val="clear" w:color="auto" w:fill="FFFFFF"/>
        </w:rPr>
        <w:t>est un outil de </w:t>
      </w:r>
      <w:hyperlink r:id="rId10" w:history="1">
        <w:r w:rsidR="001702FD" w:rsidRPr="00632987">
          <w:rPr>
            <w:rStyle w:val="Lienhypertexte"/>
            <w:rFonts w:ascii="Andalus" w:hAnsi="Andalus" w:cs="Andalus"/>
            <w:color w:val="000000" w:themeColor="text1"/>
            <w:sz w:val="24"/>
            <w:szCs w:val="24"/>
            <w:u w:val="none"/>
            <w:shd w:val="clear" w:color="auto" w:fill="FFFFFF"/>
          </w:rPr>
          <w:t>broyage</w:t>
        </w:r>
      </w:hyperlink>
      <w:r w:rsidR="001702FD" w:rsidRPr="00632987">
        <w:rPr>
          <w:rFonts w:ascii="Andalus" w:hAnsi="Andalus" w:cs="Andalus"/>
          <w:color w:val="000000" w:themeColor="text1"/>
          <w:sz w:val="24"/>
          <w:szCs w:val="24"/>
          <w:shd w:val="clear" w:color="auto" w:fill="FFFFFF"/>
        </w:rPr>
        <w:t> utilisé en </w:t>
      </w:r>
      <w:hyperlink r:id="rId11" w:history="1">
        <w:r w:rsidR="001702FD" w:rsidRPr="00632987">
          <w:rPr>
            <w:rStyle w:val="Lienhypertexte"/>
            <w:rFonts w:ascii="Andalus" w:hAnsi="Andalus" w:cs="Andalus"/>
            <w:color w:val="000000" w:themeColor="text1"/>
            <w:sz w:val="24"/>
            <w:szCs w:val="24"/>
            <w:u w:val="none"/>
            <w:shd w:val="clear" w:color="auto" w:fill="FFFFFF"/>
          </w:rPr>
          <w:t>phytothérapie</w:t>
        </w:r>
      </w:hyperlink>
      <w:r w:rsidR="001702FD" w:rsidRPr="00632987">
        <w:rPr>
          <w:rFonts w:ascii="Andalus" w:hAnsi="Andalus" w:cs="Andalus"/>
          <w:color w:val="000000" w:themeColor="text1"/>
          <w:sz w:val="24"/>
          <w:szCs w:val="24"/>
          <w:shd w:val="clear" w:color="auto" w:fill="FFFFFF"/>
        </w:rPr>
        <w:t>, au </w:t>
      </w:r>
      <w:hyperlink r:id="rId12" w:history="1">
        <w:r w:rsidR="001702FD" w:rsidRPr="00632987">
          <w:rPr>
            <w:rStyle w:val="Lienhypertexte"/>
            <w:rFonts w:ascii="Andalus" w:hAnsi="Andalus" w:cs="Andalus"/>
            <w:color w:val="000000" w:themeColor="text1"/>
            <w:sz w:val="24"/>
            <w:szCs w:val="24"/>
            <w:u w:val="none"/>
            <w:shd w:val="clear" w:color="auto" w:fill="FFFFFF"/>
          </w:rPr>
          <w:t>Japon</w:t>
        </w:r>
      </w:hyperlink>
      <w:r w:rsidR="001702FD" w:rsidRPr="00632987">
        <w:rPr>
          <w:rFonts w:ascii="Andalus" w:hAnsi="Andalus" w:cs="Andalus"/>
          <w:color w:val="000000" w:themeColor="text1"/>
          <w:sz w:val="24"/>
          <w:szCs w:val="24"/>
          <w:shd w:val="clear" w:color="auto" w:fill="FFFFFF"/>
        </w:rPr>
        <w:t>. Il utilise une roue qu'on fait aller d'avant en arrière pour écraser les ingrédients</w:t>
      </w:r>
      <w:r w:rsidRPr="00632987">
        <w:rPr>
          <w:rFonts w:ascii="Andalus" w:hAnsi="Andalus" w:cs="Andalus"/>
          <w:color w:val="000000" w:themeColor="text1"/>
          <w:sz w:val="24"/>
          <w:szCs w:val="24"/>
          <w:shd w:val="clear" w:color="auto" w:fill="FFFFFF"/>
        </w:rPr>
        <w:t xml:space="preserve"> .</w:t>
      </w:r>
    </w:p>
    <w:p w:rsidR="007D0CD0" w:rsidRPr="00632987" w:rsidRDefault="007D0CD0" w:rsidP="00B877C7">
      <w:pPr>
        <w:tabs>
          <w:tab w:val="left" w:pos="3285"/>
        </w:tabs>
        <w:ind w:left="360"/>
        <w:jc w:val="both"/>
        <w:rPr>
          <w:rFonts w:cs="Andalus"/>
          <w:b/>
          <w:bCs/>
          <w:color w:val="000000" w:themeColor="text1"/>
          <w:sz w:val="20"/>
          <w:szCs w:val="20"/>
          <w:shd w:val="clear" w:color="auto" w:fill="FFFFFF"/>
        </w:rPr>
      </w:pPr>
      <w:r w:rsidRPr="00632987">
        <w:rPr>
          <w:rFonts w:cs="Andalus"/>
          <w:b/>
          <w:bCs/>
          <w:color w:val="000000" w:themeColor="text1"/>
          <w:sz w:val="20"/>
          <w:szCs w:val="20"/>
          <w:shd w:val="clear" w:color="auto" w:fill="FFFFFF"/>
        </w:rPr>
        <w:t>Yagen</w:t>
      </w:r>
    </w:p>
    <w:p w:rsidR="001702FD" w:rsidRPr="00632987" w:rsidRDefault="007D0CD0" w:rsidP="00B877C7">
      <w:pPr>
        <w:tabs>
          <w:tab w:val="left" w:pos="3285"/>
        </w:tabs>
        <w:ind w:left="360"/>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lastRenderedPageBreak/>
        <w:drawing>
          <wp:inline distT="0" distB="0" distL="0" distR="0">
            <wp:extent cx="1762125" cy="1679525"/>
            <wp:effectExtent l="19050" t="0" r="952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1762125" cy="1679525"/>
                    </a:xfrm>
                    <a:prstGeom prst="rect">
                      <a:avLst/>
                    </a:prstGeom>
                    <a:noFill/>
                    <a:ln w="9525">
                      <a:noFill/>
                      <a:miter lim="800000"/>
                      <a:headEnd/>
                      <a:tailEnd/>
                    </a:ln>
                  </pic:spPr>
                </pic:pic>
              </a:graphicData>
            </a:graphic>
          </wp:inline>
        </w:drawing>
      </w:r>
    </w:p>
    <w:p w:rsidR="001702FD" w:rsidRPr="00632987" w:rsidRDefault="007D0CD0" w:rsidP="00B877C7">
      <w:pPr>
        <w:tabs>
          <w:tab w:val="left" w:pos="3285"/>
        </w:tabs>
        <w:ind w:left="360"/>
        <w:jc w:val="both"/>
        <w:rPr>
          <w:rFonts w:asciiTheme="majorBidi" w:hAnsiTheme="majorBidi" w:cstheme="majorBidi"/>
          <w:b/>
          <w:bCs/>
          <w:color w:val="000000" w:themeColor="text1"/>
          <w:sz w:val="24"/>
          <w:szCs w:val="24"/>
        </w:rPr>
      </w:pPr>
      <w:r w:rsidRPr="00632987">
        <w:rPr>
          <w:color w:val="000000" w:themeColor="text1"/>
        </w:rPr>
        <w:t xml:space="preserve">     </w:t>
      </w:r>
      <w:r w:rsidRPr="00632987">
        <w:rPr>
          <w:rFonts w:asciiTheme="majorBidi" w:hAnsiTheme="majorBidi" w:cstheme="majorBidi"/>
          <w:b/>
          <w:bCs/>
          <w:color w:val="000000" w:themeColor="text1"/>
          <w:sz w:val="24"/>
          <w:szCs w:val="24"/>
        </w:rPr>
        <w:t>Broyage de</w:t>
      </w:r>
      <w:r w:rsidR="001702FD" w:rsidRPr="00632987">
        <w:rPr>
          <w:rFonts w:asciiTheme="majorBidi" w:hAnsiTheme="majorBidi" w:cstheme="majorBidi"/>
          <w:b/>
          <w:bCs/>
          <w:color w:val="000000" w:themeColor="text1"/>
          <w:sz w:val="24"/>
          <w:szCs w:val="24"/>
        </w:rPr>
        <w:t xml:space="preserve"> </w:t>
      </w:r>
      <w:r w:rsidRPr="00632987">
        <w:rPr>
          <w:rFonts w:asciiTheme="majorBidi" w:hAnsiTheme="majorBidi" w:cstheme="majorBidi"/>
          <w:b/>
          <w:bCs/>
          <w:color w:val="000000" w:themeColor="text1"/>
          <w:sz w:val="24"/>
          <w:szCs w:val="24"/>
        </w:rPr>
        <w:t>l</w:t>
      </w:r>
      <w:r w:rsidR="001702FD" w:rsidRPr="00632987">
        <w:rPr>
          <w:rFonts w:asciiTheme="majorBidi" w:hAnsiTheme="majorBidi" w:cstheme="majorBidi"/>
          <w:b/>
          <w:bCs/>
          <w:color w:val="000000" w:themeColor="text1"/>
          <w:sz w:val="24"/>
          <w:szCs w:val="24"/>
        </w:rPr>
        <w:t>a Peinture</w:t>
      </w:r>
      <w:r w:rsidR="00632987">
        <w:rPr>
          <w:rFonts w:asciiTheme="majorBidi" w:hAnsiTheme="majorBidi" w:cstheme="majorBidi"/>
          <w:b/>
          <w:bCs/>
          <w:color w:val="000000" w:themeColor="text1"/>
          <w:sz w:val="24"/>
          <w:szCs w:val="24"/>
        </w:rPr>
        <w:t> </w:t>
      </w:r>
      <w:r w:rsidRPr="00632987">
        <w:rPr>
          <w:rFonts w:asciiTheme="majorBidi" w:hAnsiTheme="majorBidi" w:cstheme="majorBidi"/>
          <w:b/>
          <w:bCs/>
          <w:color w:val="000000" w:themeColor="text1"/>
          <w:sz w:val="24"/>
          <w:szCs w:val="24"/>
        </w:rPr>
        <w:t xml:space="preserve"> </w:t>
      </w:r>
    </w:p>
    <w:p w:rsidR="001702FD" w:rsidRPr="00632987" w:rsidRDefault="007D0CD0" w:rsidP="00B877C7">
      <w:pPr>
        <w:tabs>
          <w:tab w:val="left" w:pos="3285"/>
        </w:tabs>
        <w:ind w:left="360"/>
        <w:jc w:val="both"/>
        <w:rPr>
          <w:color w:val="000000" w:themeColor="text1"/>
        </w:rPr>
      </w:pPr>
      <w:r w:rsidRPr="00632987">
        <w:rPr>
          <w:color w:val="000000" w:themeColor="text1"/>
        </w:rPr>
        <w:t xml:space="preserve">   </w:t>
      </w:r>
      <w:r w:rsidR="001702FD" w:rsidRPr="00632987">
        <w:rPr>
          <w:color w:val="000000" w:themeColor="text1"/>
        </w:rPr>
        <w:t>En peinture artistique, le broyage des couleurs, effectué d'abord dans l'atelier des maîtres peintres, puis chez des marchands de couleur, et enfin industriellement, ne désigne pas ou plus l'opération de broyage des pigments, appelé « concassage » mais celle qui consiste à les disperser dans un liant.</w:t>
      </w:r>
    </w:p>
    <w:p w:rsidR="00B94ED6" w:rsidRPr="00632987" w:rsidRDefault="007D0CD0" w:rsidP="00B877C7">
      <w:pPr>
        <w:tabs>
          <w:tab w:val="left" w:pos="3285"/>
        </w:tabs>
        <w:ind w:left="360"/>
        <w:jc w:val="both"/>
        <w:rPr>
          <w:color w:val="000000" w:themeColor="text1"/>
        </w:rPr>
      </w:pPr>
      <w:r w:rsidRPr="00632987">
        <w:rPr>
          <w:color w:val="000000" w:themeColor="text1"/>
        </w:rPr>
        <w:t xml:space="preserve">   </w:t>
      </w:r>
      <w:r w:rsidR="001702FD" w:rsidRPr="00632987">
        <w:rPr>
          <w:color w:val="000000" w:themeColor="text1"/>
        </w:rPr>
        <w:t>Certains auteurs appellent aussi broyage l'</w:t>
      </w:r>
      <w:r w:rsidRPr="00632987">
        <w:rPr>
          <w:color w:val="000000" w:themeColor="text1"/>
        </w:rPr>
        <w:t>opération</w:t>
      </w:r>
      <w:r w:rsidR="001702FD" w:rsidRPr="00632987">
        <w:rPr>
          <w:color w:val="000000" w:themeColor="text1"/>
        </w:rPr>
        <w:t xml:space="preserve"> analogue qui consiste à préparer l'encre en frottant le bâton d'encre de Chine sur la pierre</w:t>
      </w:r>
    </w:p>
    <w:p w:rsidR="007D0CD0" w:rsidRPr="00632987" w:rsidRDefault="007D0CD0" w:rsidP="00B877C7">
      <w:pPr>
        <w:tabs>
          <w:tab w:val="left" w:pos="3285"/>
        </w:tabs>
        <w:ind w:left="360"/>
        <w:jc w:val="both"/>
        <w:rPr>
          <w:b/>
          <w:bCs/>
          <w:color w:val="000000" w:themeColor="text1"/>
          <w:sz w:val="20"/>
          <w:szCs w:val="20"/>
        </w:rPr>
      </w:pPr>
      <w:r w:rsidRPr="00632987">
        <w:rPr>
          <w:b/>
          <w:bCs/>
          <w:color w:val="000000" w:themeColor="text1"/>
          <w:sz w:val="20"/>
          <w:szCs w:val="20"/>
        </w:rPr>
        <w:t>Exemples pour broyage de la peinture :</w:t>
      </w:r>
    </w:p>
    <w:p w:rsidR="007D0CD0" w:rsidRPr="00632987" w:rsidRDefault="007D0CD0" w:rsidP="00B877C7">
      <w:pPr>
        <w:tabs>
          <w:tab w:val="left" w:pos="3285"/>
        </w:tabs>
        <w:ind w:left="360"/>
        <w:jc w:val="both"/>
        <w:rPr>
          <w:color w:val="000000" w:themeColor="text1"/>
        </w:rPr>
      </w:pPr>
      <w:r w:rsidRPr="00632987">
        <w:rPr>
          <w:noProof/>
          <w:color w:val="000000" w:themeColor="text1"/>
          <w:lang w:eastAsia="fr-FR"/>
        </w:rPr>
        <w:drawing>
          <wp:inline distT="0" distB="0" distL="0" distR="0">
            <wp:extent cx="5953125" cy="1295400"/>
            <wp:effectExtent l="1905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962997" cy="1297548"/>
                    </a:xfrm>
                    <a:prstGeom prst="rect">
                      <a:avLst/>
                    </a:prstGeom>
                    <a:noFill/>
                    <a:ln w="9525">
                      <a:noFill/>
                      <a:miter lim="800000"/>
                      <a:headEnd/>
                      <a:tailEnd/>
                    </a:ln>
                  </pic:spPr>
                </pic:pic>
              </a:graphicData>
            </a:graphic>
          </wp:inline>
        </w:drawing>
      </w:r>
    </w:p>
    <w:p w:rsidR="001B2021" w:rsidRPr="00632987" w:rsidRDefault="001B2021" w:rsidP="00B877C7">
      <w:pPr>
        <w:tabs>
          <w:tab w:val="left" w:pos="3285"/>
        </w:tabs>
        <w:ind w:left="360"/>
        <w:jc w:val="both"/>
        <w:rPr>
          <w:color w:val="000000" w:themeColor="text1"/>
        </w:rPr>
      </w:pPr>
    </w:p>
    <w:p w:rsidR="001B2021" w:rsidRPr="00632987" w:rsidRDefault="001B2021" w:rsidP="00B877C7">
      <w:pPr>
        <w:tabs>
          <w:tab w:val="left" w:pos="5040"/>
        </w:tabs>
        <w:jc w:val="both"/>
        <w:rPr>
          <w:rFonts w:asciiTheme="majorBidi" w:hAnsiTheme="majorBidi" w:cstheme="majorBidi"/>
          <w:b/>
          <w:bCs/>
          <w:color w:val="000000" w:themeColor="text1"/>
        </w:rPr>
      </w:pPr>
      <w:r w:rsidRPr="00632987">
        <w:rPr>
          <w:color w:val="000000" w:themeColor="text1"/>
        </w:rPr>
        <w:t xml:space="preserve">     </w:t>
      </w:r>
      <w:r w:rsidRPr="00632987">
        <w:rPr>
          <w:rFonts w:asciiTheme="majorBidi" w:hAnsiTheme="majorBidi" w:cstheme="majorBidi"/>
          <w:b/>
          <w:bCs/>
          <w:color w:val="000000" w:themeColor="text1"/>
        </w:rPr>
        <w:t>Broyage mécanique</w:t>
      </w:r>
      <w:r w:rsidR="00632987">
        <w:rPr>
          <w:rFonts w:asciiTheme="majorBidi" w:hAnsiTheme="majorBidi" w:cstheme="majorBidi"/>
          <w:b/>
          <w:bCs/>
          <w:color w:val="000000" w:themeColor="text1"/>
        </w:rPr>
        <w:t> </w:t>
      </w:r>
    </w:p>
    <w:p w:rsidR="007D0CD0" w:rsidRPr="00632987" w:rsidRDefault="001B2021" w:rsidP="00B877C7">
      <w:pPr>
        <w:tabs>
          <w:tab w:val="left" w:pos="5040"/>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Le broyage mécanique consiste à réduire la taille des particules et des grains de différents types de matériaux. Il est très utilisé dans l’industrie pharmaceutique car il permet d’améliorer la biodisponibilité d’une substance. Par exemple dans le cas des composés peu solubles dans l’eau, la production de particules submicroniques peut être un moyen d’améliorer l’efficacité du produit lors d’une administration orale</w:t>
      </w:r>
    </w:p>
    <w:p w:rsidR="004D102C" w:rsidRPr="00632987" w:rsidRDefault="004D102C" w:rsidP="00B877C7">
      <w:pPr>
        <w:tabs>
          <w:tab w:val="left" w:pos="5040"/>
        </w:tabs>
        <w:jc w:val="both"/>
        <w:rPr>
          <w:rFonts w:ascii="Andalus" w:hAnsi="Andalus" w:cs="Andalus"/>
          <w:color w:val="000000" w:themeColor="text1"/>
          <w:sz w:val="24"/>
          <w:szCs w:val="24"/>
        </w:rPr>
      </w:pPr>
    </w:p>
    <w:p w:rsidR="004D102C" w:rsidRPr="00632987" w:rsidRDefault="004D102C" w:rsidP="00B877C7">
      <w:pPr>
        <w:tabs>
          <w:tab w:val="left" w:pos="5040"/>
        </w:tabs>
        <w:jc w:val="both"/>
        <w:rPr>
          <w:rFonts w:cs="Andalus"/>
          <w:b/>
          <w:bCs/>
          <w:color w:val="000000" w:themeColor="text1"/>
          <w:sz w:val="20"/>
          <w:szCs w:val="20"/>
        </w:rPr>
      </w:pPr>
      <w:r w:rsidRPr="00632987">
        <w:rPr>
          <w:rFonts w:cs="Andalus"/>
          <w:b/>
          <w:bCs/>
          <w:color w:val="000000" w:themeColor="text1"/>
          <w:sz w:val="20"/>
          <w:szCs w:val="20"/>
        </w:rPr>
        <w:t>Exemples pour le broyage mécanique :</w:t>
      </w:r>
    </w:p>
    <w:p w:rsidR="00620AE0" w:rsidRPr="00632987" w:rsidRDefault="004D102C" w:rsidP="00B877C7">
      <w:pPr>
        <w:tabs>
          <w:tab w:val="left" w:pos="5040"/>
        </w:tabs>
        <w:jc w:val="both"/>
        <w:rPr>
          <w:rFonts w:cs="Andalus"/>
          <w:b/>
          <w:bCs/>
          <w:color w:val="000000" w:themeColor="text1"/>
          <w:sz w:val="20"/>
          <w:szCs w:val="20"/>
        </w:rPr>
      </w:pPr>
      <w:r w:rsidRPr="00632987">
        <w:rPr>
          <w:rFonts w:cs="Andalus"/>
          <w:b/>
          <w:bCs/>
          <w:noProof/>
          <w:color w:val="000000" w:themeColor="text1"/>
          <w:sz w:val="20"/>
          <w:szCs w:val="20"/>
          <w:lang w:eastAsia="fr-FR"/>
        </w:rPr>
        <w:drawing>
          <wp:inline distT="0" distB="0" distL="0" distR="0">
            <wp:extent cx="5760720" cy="1220618"/>
            <wp:effectExtent l="1905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5760720" cy="1220618"/>
                    </a:xfrm>
                    <a:prstGeom prst="rect">
                      <a:avLst/>
                    </a:prstGeom>
                    <a:noFill/>
                    <a:ln w="9525">
                      <a:noFill/>
                      <a:miter lim="800000"/>
                      <a:headEnd/>
                      <a:tailEnd/>
                    </a:ln>
                  </pic:spPr>
                </pic:pic>
              </a:graphicData>
            </a:graphic>
          </wp:inline>
        </w:drawing>
      </w:r>
    </w:p>
    <w:p w:rsidR="00620AE0" w:rsidRPr="00632987" w:rsidRDefault="00620AE0" w:rsidP="00B877C7">
      <w:pPr>
        <w:tabs>
          <w:tab w:val="left" w:pos="5040"/>
        </w:tabs>
        <w:ind w:left="360"/>
        <w:jc w:val="both"/>
        <w:rPr>
          <w:rFonts w:cs="Andalus"/>
          <w:b/>
          <w:bCs/>
          <w:color w:val="000000" w:themeColor="text1"/>
          <w:sz w:val="20"/>
          <w:szCs w:val="20"/>
        </w:rPr>
      </w:pPr>
    </w:p>
    <w:p w:rsidR="009543C3" w:rsidRPr="00632987" w:rsidRDefault="009543C3" w:rsidP="00B877C7">
      <w:pPr>
        <w:pStyle w:val="Paragraphedeliste"/>
        <w:numPr>
          <w:ilvl w:val="0"/>
          <w:numId w:val="2"/>
        </w:numPr>
        <w:tabs>
          <w:tab w:val="left" w:pos="5040"/>
        </w:tabs>
        <w:jc w:val="both"/>
        <w:rPr>
          <w:rFonts w:cs="Andalus"/>
          <w:b/>
          <w:bCs/>
          <w:color w:val="000000" w:themeColor="text1"/>
          <w:sz w:val="20"/>
          <w:szCs w:val="20"/>
        </w:rPr>
      </w:pPr>
      <w:r w:rsidRPr="00632987">
        <w:rPr>
          <w:rFonts w:asciiTheme="majorBidi" w:hAnsiTheme="majorBidi" w:cstheme="majorBidi"/>
          <w:b/>
          <w:bCs/>
          <w:color w:val="000000" w:themeColor="text1"/>
          <w:sz w:val="24"/>
          <w:szCs w:val="24"/>
        </w:rPr>
        <w:t>Broyage en température </w:t>
      </w:r>
    </w:p>
    <w:p w:rsidR="009543C3" w:rsidRPr="00632987" w:rsidRDefault="009543C3" w:rsidP="00B877C7">
      <w:pPr>
        <w:tabs>
          <w:tab w:val="left" w:pos="5040"/>
        </w:tabs>
        <w:jc w:val="both"/>
        <w:rPr>
          <w:rFonts w:ascii="Andalus" w:hAnsi="Andalus" w:cs="Andalus"/>
          <w:color w:val="000000" w:themeColor="text1"/>
          <w:sz w:val="24"/>
          <w:szCs w:val="24"/>
        </w:rPr>
      </w:pPr>
      <w:r w:rsidRPr="00632987">
        <w:rPr>
          <w:rFonts w:cs="Andalus"/>
          <w:b/>
          <w:bCs/>
          <w:color w:val="000000" w:themeColor="text1"/>
          <w:sz w:val="20"/>
          <w:szCs w:val="20"/>
        </w:rPr>
        <w:t xml:space="preserve">   </w:t>
      </w:r>
      <w:r w:rsidRPr="00632987">
        <w:rPr>
          <w:rFonts w:ascii="Andalus" w:hAnsi="Andalus" w:cs="Andalus"/>
          <w:color w:val="000000" w:themeColor="text1"/>
          <w:sz w:val="24"/>
          <w:szCs w:val="24"/>
        </w:rPr>
        <w:t>Bien qu'il n’existe pas de broyeur commercial équipé de système de régulation en température, il est possible d’effectuer des broyages à différentes températures :</w:t>
      </w:r>
    </w:p>
    <w:p w:rsidR="009543C3" w:rsidRPr="00632987" w:rsidRDefault="009543C3" w:rsidP="00B877C7">
      <w:pPr>
        <w:pStyle w:val="Paragraphedeliste"/>
        <w:numPr>
          <w:ilvl w:val="0"/>
          <w:numId w:val="3"/>
        </w:numPr>
        <w:tabs>
          <w:tab w:val="left" w:pos="5040"/>
        </w:tabs>
        <w:jc w:val="both"/>
        <w:rPr>
          <w:rFonts w:ascii="Andalus" w:hAnsi="Andalus" w:cs="Andalus"/>
          <w:color w:val="000000" w:themeColor="text1"/>
          <w:sz w:val="24"/>
          <w:szCs w:val="24"/>
        </w:rPr>
      </w:pPr>
      <w:r w:rsidRPr="00632987">
        <w:rPr>
          <w:rFonts w:ascii="Andalus" w:hAnsi="Andalus" w:cs="Andalus"/>
          <w:color w:val="000000" w:themeColor="text1"/>
          <w:sz w:val="24"/>
          <w:szCs w:val="24"/>
        </w:rPr>
        <w:t>à température ambiante, en plaçant le broyeur dans une pièce à température ambiante.</w:t>
      </w:r>
    </w:p>
    <w:p w:rsidR="004D102C" w:rsidRPr="00632987" w:rsidRDefault="009543C3" w:rsidP="00B877C7">
      <w:pPr>
        <w:pStyle w:val="Paragraphedeliste"/>
        <w:numPr>
          <w:ilvl w:val="0"/>
          <w:numId w:val="3"/>
        </w:numPr>
        <w:tabs>
          <w:tab w:val="left" w:pos="5040"/>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A </w:t>
      </w:r>
      <w:r w:rsidR="00937A88" w:rsidRPr="00632987">
        <w:rPr>
          <w:rFonts w:ascii="Andalus" w:hAnsi="Andalus" w:cs="Andalus"/>
          <w:color w:val="000000" w:themeColor="text1"/>
          <w:sz w:val="24"/>
          <w:szCs w:val="24"/>
        </w:rPr>
        <w:t>(-</w:t>
      </w:r>
      <w:r w:rsidRPr="00632987">
        <w:rPr>
          <w:rFonts w:ascii="Andalus" w:hAnsi="Andalus" w:cs="Andalus"/>
          <w:color w:val="000000" w:themeColor="text1"/>
          <w:sz w:val="24"/>
          <w:szCs w:val="24"/>
        </w:rPr>
        <w:t xml:space="preserve"> 12 °</w:t>
      </w:r>
      <w:r w:rsidR="00937A88" w:rsidRPr="00632987">
        <w:rPr>
          <w:rFonts w:ascii="Andalus" w:hAnsi="Andalus" w:cs="Andalus"/>
          <w:color w:val="000000" w:themeColor="text1"/>
          <w:sz w:val="24"/>
          <w:szCs w:val="24"/>
        </w:rPr>
        <w:t>C),</w:t>
      </w:r>
      <w:r w:rsidRPr="00632987">
        <w:rPr>
          <w:rFonts w:ascii="Andalus" w:hAnsi="Andalus" w:cs="Andalus"/>
          <w:color w:val="000000" w:themeColor="text1"/>
          <w:sz w:val="24"/>
          <w:szCs w:val="24"/>
        </w:rPr>
        <w:t xml:space="preserve"> en plaçant le broyeur dans une chambre froide maintenu à cette </w:t>
      </w:r>
      <w:r w:rsidR="00937A88" w:rsidRPr="00632987">
        <w:rPr>
          <w:rFonts w:ascii="Andalus" w:hAnsi="Andalus" w:cs="Andalus"/>
          <w:color w:val="000000" w:themeColor="text1"/>
          <w:sz w:val="24"/>
          <w:szCs w:val="24"/>
        </w:rPr>
        <w:t>température.</w:t>
      </w:r>
    </w:p>
    <w:p w:rsidR="009543C3" w:rsidRPr="00632987" w:rsidRDefault="009543C3" w:rsidP="00B877C7">
      <w:pPr>
        <w:tabs>
          <w:tab w:val="left" w:pos="2445"/>
        </w:tabs>
        <w:jc w:val="both"/>
        <w:rPr>
          <w:rFonts w:cs="Andalus"/>
          <w:b/>
          <w:bCs/>
          <w:color w:val="000000" w:themeColor="text1"/>
          <w:sz w:val="20"/>
          <w:szCs w:val="20"/>
        </w:rPr>
      </w:pPr>
      <w:r w:rsidRPr="00632987">
        <w:rPr>
          <w:rFonts w:cs="Andalus"/>
          <w:b/>
          <w:bCs/>
          <w:color w:val="000000" w:themeColor="text1"/>
          <w:sz w:val="20"/>
          <w:szCs w:val="20"/>
        </w:rPr>
        <w:t>Exemple pour broyage en température :</w:t>
      </w:r>
    </w:p>
    <w:p w:rsidR="009543C3" w:rsidRPr="00632987" w:rsidRDefault="009543C3" w:rsidP="00B877C7">
      <w:pPr>
        <w:tabs>
          <w:tab w:val="left" w:pos="2445"/>
        </w:tabs>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2552700" cy="1885950"/>
            <wp:effectExtent l="1905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srcRect/>
                    <a:stretch>
                      <a:fillRect/>
                    </a:stretch>
                  </pic:blipFill>
                  <pic:spPr bwMode="auto">
                    <a:xfrm>
                      <a:off x="0" y="0"/>
                      <a:ext cx="2552700" cy="1885950"/>
                    </a:xfrm>
                    <a:prstGeom prst="rect">
                      <a:avLst/>
                    </a:prstGeom>
                    <a:noFill/>
                    <a:ln w="9525">
                      <a:noFill/>
                      <a:miter lim="800000"/>
                      <a:headEnd/>
                      <a:tailEnd/>
                    </a:ln>
                  </pic:spPr>
                </pic:pic>
              </a:graphicData>
            </a:graphic>
          </wp:inline>
        </w:drawing>
      </w:r>
    </w:p>
    <w:p w:rsidR="009543C3" w:rsidRPr="00632987" w:rsidRDefault="009543C3" w:rsidP="00B877C7">
      <w:pPr>
        <w:tabs>
          <w:tab w:val="left" w:pos="2445"/>
        </w:tabs>
        <w:jc w:val="both"/>
        <w:rPr>
          <w:rFonts w:ascii="Andalus" w:hAnsi="Andalus" w:cs="Andalus"/>
          <w:color w:val="000000" w:themeColor="text1"/>
          <w:sz w:val="24"/>
          <w:szCs w:val="24"/>
        </w:rPr>
      </w:pPr>
    </w:p>
    <w:p w:rsidR="00186752" w:rsidRPr="00632987" w:rsidRDefault="00632987" w:rsidP="00B877C7">
      <w:pPr>
        <w:tabs>
          <w:tab w:val="left" w:pos="2445"/>
        </w:tabs>
        <w:ind w:left="360"/>
        <w:jc w:val="both"/>
        <w:rPr>
          <w:rFonts w:ascii="Andalus" w:hAnsi="Andalus" w:cs="Andalus"/>
          <w:b/>
          <w:bCs/>
          <w:color w:val="000000" w:themeColor="text1"/>
          <w:sz w:val="32"/>
          <w:szCs w:val="32"/>
        </w:rPr>
      </w:pPr>
      <w:r>
        <w:rPr>
          <w:rFonts w:ascii="Andalus" w:hAnsi="Andalus" w:cs="Andalus"/>
          <w:b/>
          <w:bCs/>
          <w:color w:val="000000" w:themeColor="text1"/>
          <w:sz w:val="32"/>
          <w:szCs w:val="32"/>
        </w:rPr>
        <w:t>Broyeur </w:t>
      </w:r>
    </w:p>
    <w:p w:rsidR="00186752" w:rsidRPr="00632987" w:rsidRDefault="00620AE0" w:rsidP="00B877C7">
      <w:pPr>
        <w:tabs>
          <w:tab w:val="left" w:pos="2445"/>
        </w:tabs>
        <w:ind w:left="360"/>
        <w:jc w:val="both"/>
        <w:rPr>
          <w:rFonts w:asciiTheme="majorBidi" w:hAnsiTheme="majorBidi" w:cstheme="majorBidi"/>
          <w:b/>
          <w:bCs/>
          <w:color w:val="000000" w:themeColor="text1"/>
          <w:sz w:val="24"/>
          <w:szCs w:val="24"/>
        </w:rPr>
      </w:pPr>
      <w:r w:rsidRPr="00632987">
        <w:rPr>
          <w:rFonts w:ascii="Andalus" w:hAnsi="Andalus" w:cs="Andalus"/>
          <w:color w:val="000000" w:themeColor="text1"/>
          <w:sz w:val="24"/>
          <w:szCs w:val="24"/>
        </w:rPr>
        <w:t xml:space="preserve">     </w:t>
      </w:r>
      <w:r w:rsidR="00186752" w:rsidRPr="00632987">
        <w:rPr>
          <w:rFonts w:asciiTheme="majorBidi" w:hAnsiTheme="majorBidi" w:cstheme="majorBidi"/>
          <w:b/>
          <w:bCs/>
          <w:color w:val="000000" w:themeColor="text1"/>
          <w:sz w:val="24"/>
          <w:szCs w:val="24"/>
        </w:rPr>
        <w:t>Broyeur d'évier</w:t>
      </w:r>
    </w:p>
    <w:p w:rsidR="00186752" w:rsidRPr="00632987" w:rsidRDefault="00186752" w:rsidP="00B877C7">
      <w:pPr>
        <w:tabs>
          <w:tab w:val="left" w:pos="2445"/>
        </w:tabs>
        <w:ind w:left="360"/>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Un broyeur d'évier appelé aussi broyeur de cuisine ou broyeur de déchets alimentaires est un équipement placé sous l'évier qui permet de broyer les déchets organiques en </w:t>
      </w:r>
      <w:r w:rsidR="00620AE0" w:rsidRPr="00632987">
        <w:rPr>
          <w:rFonts w:ascii="Andalus" w:hAnsi="Andalus" w:cs="Andalus"/>
          <w:color w:val="000000" w:themeColor="text1"/>
          <w:sz w:val="24"/>
          <w:szCs w:val="24"/>
        </w:rPr>
        <w:t>les évacuants</w:t>
      </w:r>
      <w:r w:rsidRPr="00632987">
        <w:rPr>
          <w:rFonts w:ascii="Andalus" w:hAnsi="Andalus" w:cs="Andalus"/>
          <w:color w:val="000000" w:themeColor="text1"/>
          <w:sz w:val="24"/>
          <w:szCs w:val="24"/>
        </w:rPr>
        <w:t xml:space="preserve"> ensuite dans le système d'épuration.</w:t>
      </w:r>
    </w:p>
    <w:p w:rsidR="00186752" w:rsidRPr="00632987" w:rsidRDefault="00620AE0" w:rsidP="00B877C7">
      <w:pPr>
        <w:tabs>
          <w:tab w:val="left" w:pos="2445"/>
        </w:tabs>
        <w:ind w:left="360"/>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186752" w:rsidRPr="00632987">
        <w:rPr>
          <w:rFonts w:ascii="Andalus" w:hAnsi="Andalus" w:cs="Andalus"/>
          <w:color w:val="000000" w:themeColor="text1"/>
          <w:sz w:val="24"/>
          <w:szCs w:val="24"/>
        </w:rPr>
        <w:t>Il est installé à la place de la bonde et relie le système des eaux usées par un raccord classique de plomberie. Les déchets évacués ne font plus que 2 mm au maximum.</w:t>
      </w:r>
    </w:p>
    <w:p w:rsidR="00186752" w:rsidRPr="00632987" w:rsidRDefault="00620AE0" w:rsidP="00B877C7">
      <w:pPr>
        <w:tabs>
          <w:tab w:val="left" w:pos="2445"/>
        </w:tabs>
        <w:ind w:left="360"/>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186752" w:rsidRPr="00632987">
        <w:rPr>
          <w:rFonts w:ascii="Andalus" w:hAnsi="Andalus" w:cs="Andalus"/>
          <w:color w:val="000000" w:themeColor="text1"/>
          <w:sz w:val="24"/>
          <w:szCs w:val="24"/>
        </w:rPr>
        <w:t>Les broyeurs d'éviers sont très largement utilisés en Amérique du Nord, en Grande-Bretagne, en Suède, au Japon et en Chine.</w:t>
      </w:r>
    </w:p>
    <w:p w:rsidR="00186752" w:rsidRPr="00632987" w:rsidRDefault="00620AE0" w:rsidP="00B877C7">
      <w:pPr>
        <w:tabs>
          <w:tab w:val="left" w:pos="2445"/>
        </w:tabs>
        <w:ind w:left="360"/>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186752" w:rsidRPr="00632987">
        <w:rPr>
          <w:rFonts w:ascii="Andalus" w:hAnsi="Andalus" w:cs="Andalus"/>
          <w:color w:val="000000" w:themeColor="text1"/>
          <w:sz w:val="24"/>
          <w:szCs w:val="24"/>
        </w:rPr>
        <w:t xml:space="preserve">Testés en France dès l'entre-deux guerres, les broyeurs d'évier sont recommandés par le Ministère de la Reconstruction et de l'Urbanisme en 1950, mais se développent peu en </w:t>
      </w:r>
      <w:r w:rsidRPr="00632987">
        <w:rPr>
          <w:rFonts w:ascii="Andalus" w:hAnsi="Andalus" w:cs="Andalus"/>
          <w:color w:val="000000" w:themeColor="text1"/>
          <w:sz w:val="24"/>
          <w:szCs w:val="24"/>
        </w:rPr>
        <w:t>France</w:t>
      </w:r>
    </w:p>
    <w:p w:rsidR="00620AE0" w:rsidRPr="00632987" w:rsidRDefault="00620AE0" w:rsidP="00B877C7">
      <w:pPr>
        <w:tabs>
          <w:tab w:val="left" w:pos="2445"/>
        </w:tabs>
        <w:ind w:left="360"/>
        <w:jc w:val="both"/>
        <w:rPr>
          <w:rFonts w:cs="Andalus"/>
          <w:b/>
          <w:bCs/>
          <w:color w:val="000000" w:themeColor="text1"/>
          <w:sz w:val="20"/>
          <w:szCs w:val="20"/>
        </w:rPr>
      </w:pPr>
      <w:r w:rsidRPr="00632987">
        <w:rPr>
          <w:rFonts w:cs="Andalus"/>
          <w:b/>
          <w:bCs/>
          <w:color w:val="000000" w:themeColor="text1"/>
          <w:sz w:val="20"/>
          <w:szCs w:val="20"/>
        </w:rPr>
        <w:t xml:space="preserve">Exemples pour les Broyeurs d’éviers : </w:t>
      </w:r>
    </w:p>
    <w:p w:rsidR="00620AE0" w:rsidRPr="00632987" w:rsidRDefault="00620AE0" w:rsidP="00B877C7">
      <w:pPr>
        <w:tabs>
          <w:tab w:val="left" w:pos="2445"/>
        </w:tabs>
        <w:ind w:left="360"/>
        <w:jc w:val="both"/>
        <w:rPr>
          <w:rFonts w:cs="Andalus"/>
          <w:b/>
          <w:bCs/>
          <w:color w:val="000000" w:themeColor="text1"/>
          <w:sz w:val="20"/>
          <w:szCs w:val="20"/>
        </w:rPr>
      </w:pPr>
      <w:r w:rsidRPr="00632987">
        <w:rPr>
          <w:rFonts w:cs="Andalus"/>
          <w:b/>
          <w:bCs/>
          <w:noProof/>
          <w:color w:val="000000" w:themeColor="text1"/>
          <w:sz w:val="20"/>
          <w:szCs w:val="20"/>
          <w:lang w:eastAsia="fr-FR"/>
        </w:rPr>
        <w:drawing>
          <wp:inline distT="0" distB="0" distL="0" distR="0">
            <wp:extent cx="6035461" cy="1552575"/>
            <wp:effectExtent l="19050" t="0" r="3389"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srcRect/>
                    <a:stretch>
                      <a:fillRect/>
                    </a:stretch>
                  </pic:blipFill>
                  <pic:spPr bwMode="auto">
                    <a:xfrm>
                      <a:off x="0" y="0"/>
                      <a:ext cx="6033466" cy="1552062"/>
                    </a:xfrm>
                    <a:prstGeom prst="rect">
                      <a:avLst/>
                    </a:prstGeom>
                    <a:noFill/>
                    <a:ln w="9525">
                      <a:noFill/>
                      <a:miter lim="800000"/>
                      <a:headEnd/>
                      <a:tailEnd/>
                    </a:ln>
                  </pic:spPr>
                </pic:pic>
              </a:graphicData>
            </a:graphic>
          </wp:inline>
        </w:drawing>
      </w:r>
    </w:p>
    <w:p w:rsidR="00AB1B37" w:rsidRPr="00632987" w:rsidRDefault="00AB1B37" w:rsidP="00B877C7">
      <w:pPr>
        <w:pStyle w:val="Paragraphedeliste"/>
        <w:numPr>
          <w:ilvl w:val="0"/>
          <w:numId w:val="2"/>
        </w:numPr>
        <w:tabs>
          <w:tab w:val="left" w:pos="2445"/>
        </w:tabs>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broyeur de végétaux</w:t>
      </w:r>
      <w:r w:rsidR="00632987">
        <w:rPr>
          <w:rFonts w:asciiTheme="majorBidi" w:hAnsiTheme="majorBidi" w:cstheme="majorBidi"/>
          <w:b/>
          <w:bCs/>
          <w:color w:val="000000" w:themeColor="text1"/>
          <w:sz w:val="24"/>
          <w:szCs w:val="24"/>
        </w:rPr>
        <w:t> </w:t>
      </w:r>
    </w:p>
    <w:p w:rsidR="00AB1B37" w:rsidRPr="00632987" w:rsidRDefault="00AB1B37"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Un broyeur de végétaux ou déchiqueteuse de végétaux est un outil d'agronomie et de sylviculture, motorisé, servant à réduire en copeaux les déchets de jardins, parcs publics, bordures d'infrastructures linéaires, etc., essentiellement issus des plantes ligneuses, facilitant ainsi leur évacuation ou les préparant pour le compostage.</w:t>
      </w:r>
    </w:p>
    <w:p w:rsidR="00620AE0" w:rsidRPr="00632987" w:rsidRDefault="00AB1B37" w:rsidP="00B877C7">
      <w:pPr>
        <w:tabs>
          <w:tab w:val="left" w:pos="2445"/>
        </w:tabs>
        <w:jc w:val="both"/>
        <w:rPr>
          <w:rFonts w:cs="Andalus"/>
          <w:color w:val="000000" w:themeColor="text1"/>
          <w:sz w:val="20"/>
          <w:szCs w:val="20"/>
        </w:rPr>
      </w:pPr>
      <w:r w:rsidRPr="00632987">
        <w:rPr>
          <w:rFonts w:ascii="Andalus" w:hAnsi="Andalus" w:cs="Andalus"/>
          <w:color w:val="000000" w:themeColor="text1"/>
          <w:sz w:val="24"/>
          <w:szCs w:val="24"/>
        </w:rPr>
        <w:t xml:space="preserve">   Dans les années 1990, de petits modèles adaptés aux jardins privés sont apparus. Ce sont des engins dangereux et souvent très bruyants qui exigent des précautions de sécurité</w:t>
      </w:r>
      <w:r w:rsidRPr="00632987">
        <w:rPr>
          <w:rFonts w:cs="Andalus"/>
          <w:color w:val="000000" w:themeColor="text1"/>
          <w:sz w:val="20"/>
          <w:szCs w:val="20"/>
        </w:rPr>
        <w:t>.</w:t>
      </w:r>
    </w:p>
    <w:p w:rsidR="00AB1B37" w:rsidRPr="00632987" w:rsidRDefault="00AB1B37"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Le broyeur de végétaux permet de broyer les matériaux durs :</w:t>
      </w:r>
    </w:p>
    <w:p w:rsidR="00AB1B37" w:rsidRPr="00632987" w:rsidRDefault="00AB1B37" w:rsidP="00B877C7">
      <w:pPr>
        <w:tabs>
          <w:tab w:val="left" w:pos="2445"/>
        </w:tabs>
        <w:jc w:val="both"/>
        <w:rPr>
          <w:rFonts w:ascii="Andalus" w:hAnsi="Andalus" w:cs="Andalus"/>
          <w:b/>
          <w:bCs/>
          <w:color w:val="000000" w:themeColor="text1"/>
          <w:sz w:val="24"/>
          <w:szCs w:val="24"/>
        </w:rPr>
      </w:pPr>
      <w:r w:rsidRPr="00632987">
        <w:rPr>
          <w:rFonts w:ascii="Andalus" w:hAnsi="Andalus" w:cs="Andalus"/>
          <w:b/>
          <w:bCs/>
          <w:color w:val="000000" w:themeColor="text1"/>
          <w:sz w:val="24"/>
          <w:szCs w:val="24"/>
        </w:rPr>
        <w:t>-Branches  - Brindilles - Chutes de haies</w:t>
      </w:r>
    </w:p>
    <w:p w:rsidR="00AB1B37" w:rsidRPr="00632987" w:rsidRDefault="00AB1B37"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Certains modèles acceptent aussi les matériaux tendres :</w:t>
      </w:r>
    </w:p>
    <w:p w:rsidR="00AB1B37" w:rsidRPr="00632987" w:rsidRDefault="00AB1B37" w:rsidP="00B877C7">
      <w:pPr>
        <w:tabs>
          <w:tab w:val="left" w:pos="2445"/>
        </w:tabs>
        <w:jc w:val="both"/>
        <w:rPr>
          <w:rFonts w:ascii="Andalus" w:hAnsi="Andalus" w:cs="Andalus"/>
          <w:b/>
          <w:bCs/>
          <w:color w:val="000000" w:themeColor="text1"/>
          <w:sz w:val="24"/>
          <w:szCs w:val="24"/>
        </w:rPr>
      </w:pPr>
      <w:r w:rsidRPr="00632987">
        <w:rPr>
          <w:rFonts w:ascii="Andalus" w:hAnsi="Andalus" w:cs="Andalus"/>
          <w:b/>
          <w:bCs/>
          <w:color w:val="000000" w:themeColor="text1"/>
          <w:sz w:val="24"/>
          <w:szCs w:val="24"/>
        </w:rPr>
        <w:t>-Fleurs - Résidus de fruits - Légumes et feuilles</w:t>
      </w:r>
    </w:p>
    <w:p w:rsidR="00AB1B37" w:rsidRPr="00632987" w:rsidRDefault="00AB1B37" w:rsidP="00B877C7">
      <w:pPr>
        <w:tabs>
          <w:tab w:val="left" w:pos="2445"/>
        </w:tabs>
        <w:jc w:val="both"/>
        <w:rPr>
          <w:rFonts w:ascii="Andalus" w:hAnsi="Andalus" w:cs="Andalus"/>
          <w:b/>
          <w:bCs/>
          <w:color w:val="000000" w:themeColor="text1"/>
          <w:sz w:val="24"/>
          <w:szCs w:val="24"/>
        </w:rPr>
      </w:pPr>
    </w:p>
    <w:p w:rsidR="00AB1B37" w:rsidRPr="00632987" w:rsidRDefault="00AB1B37" w:rsidP="00B877C7">
      <w:pPr>
        <w:tabs>
          <w:tab w:val="left" w:pos="2445"/>
        </w:tabs>
        <w:jc w:val="both"/>
        <w:rPr>
          <w:rFonts w:ascii="Andalus" w:hAnsi="Andalus" w:cs="Andalus"/>
          <w:b/>
          <w:bCs/>
          <w:color w:val="000000" w:themeColor="text1"/>
          <w:sz w:val="24"/>
          <w:szCs w:val="24"/>
        </w:rPr>
      </w:pPr>
    </w:p>
    <w:p w:rsidR="00AB1B37" w:rsidRPr="00632987" w:rsidRDefault="001C33E1" w:rsidP="00B877C7">
      <w:pPr>
        <w:tabs>
          <w:tab w:val="left" w:pos="2445"/>
        </w:tabs>
        <w:jc w:val="both"/>
        <w:rPr>
          <w:rFonts w:cs="Andalus"/>
          <w:b/>
          <w:bCs/>
          <w:color w:val="000000" w:themeColor="text1"/>
          <w:sz w:val="20"/>
          <w:szCs w:val="20"/>
          <w:lang w:bidi="ar-DZ"/>
        </w:rPr>
      </w:pPr>
      <w:r w:rsidRPr="00632987">
        <w:rPr>
          <w:rFonts w:cs="Andalus"/>
          <w:b/>
          <w:bCs/>
          <w:color w:val="000000" w:themeColor="text1"/>
          <w:sz w:val="20"/>
          <w:szCs w:val="20"/>
          <w:lang w:bidi="ar-DZ"/>
        </w:rPr>
        <w:t>Exemples pour broyeur des végétaux :</w:t>
      </w:r>
    </w:p>
    <w:p w:rsidR="001C33E1" w:rsidRPr="00632987" w:rsidRDefault="001C33E1" w:rsidP="00B877C7">
      <w:pPr>
        <w:tabs>
          <w:tab w:val="left" w:pos="2445"/>
        </w:tabs>
        <w:jc w:val="both"/>
        <w:rPr>
          <w:rFonts w:cs="Andalus"/>
          <w:b/>
          <w:bCs/>
          <w:color w:val="000000" w:themeColor="text1"/>
          <w:sz w:val="20"/>
          <w:szCs w:val="20"/>
          <w:lang w:bidi="ar-DZ"/>
        </w:rPr>
      </w:pPr>
      <w:r w:rsidRPr="00632987">
        <w:rPr>
          <w:rFonts w:cs="Andalus"/>
          <w:b/>
          <w:bCs/>
          <w:noProof/>
          <w:color w:val="000000" w:themeColor="text1"/>
          <w:sz w:val="20"/>
          <w:szCs w:val="20"/>
          <w:lang w:eastAsia="fr-FR"/>
        </w:rPr>
        <w:drawing>
          <wp:inline distT="0" distB="0" distL="0" distR="0">
            <wp:extent cx="6039911" cy="1714500"/>
            <wp:effectExtent l="1905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6037914" cy="1713933"/>
                    </a:xfrm>
                    <a:prstGeom prst="rect">
                      <a:avLst/>
                    </a:prstGeom>
                    <a:noFill/>
                    <a:ln w="9525">
                      <a:noFill/>
                      <a:miter lim="800000"/>
                      <a:headEnd/>
                      <a:tailEnd/>
                    </a:ln>
                  </pic:spPr>
                </pic:pic>
              </a:graphicData>
            </a:graphic>
          </wp:inline>
        </w:drawing>
      </w:r>
    </w:p>
    <w:p w:rsidR="001C33E1" w:rsidRPr="00632987" w:rsidRDefault="001C33E1" w:rsidP="00B877C7">
      <w:pPr>
        <w:pStyle w:val="Paragraphedeliste"/>
        <w:numPr>
          <w:ilvl w:val="0"/>
          <w:numId w:val="2"/>
        </w:numPr>
        <w:tabs>
          <w:tab w:val="left" w:pos="2445"/>
        </w:tabs>
        <w:jc w:val="both"/>
        <w:rPr>
          <w:rFonts w:asciiTheme="majorBidi" w:hAnsiTheme="majorBidi" w:cstheme="majorBidi"/>
          <w:b/>
          <w:bCs/>
          <w:color w:val="000000" w:themeColor="text1"/>
          <w:sz w:val="24"/>
          <w:szCs w:val="24"/>
          <w:lang w:bidi="ar-DZ"/>
        </w:rPr>
      </w:pPr>
      <w:r w:rsidRPr="00632987">
        <w:rPr>
          <w:rFonts w:asciiTheme="majorBidi" w:hAnsiTheme="majorBidi" w:cstheme="majorBidi"/>
          <w:b/>
          <w:bCs/>
          <w:color w:val="000000" w:themeColor="text1"/>
          <w:sz w:val="24"/>
          <w:szCs w:val="24"/>
          <w:lang w:bidi="ar-DZ"/>
        </w:rPr>
        <w:t xml:space="preserve">Broyeur de fanes </w:t>
      </w:r>
    </w:p>
    <w:p w:rsidR="001C33E1" w:rsidRPr="00632987" w:rsidRDefault="001C33E1" w:rsidP="00B877C7">
      <w:pPr>
        <w:tabs>
          <w:tab w:val="left" w:pos="2445"/>
        </w:tabs>
        <w:jc w:val="both"/>
        <w:rPr>
          <w:rFonts w:ascii="Andalus" w:hAnsi="Andalus" w:cs="Andalus"/>
          <w:color w:val="000000" w:themeColor="text1"/>
          <w:sz w:val="24"/>
          <w:szCs w:val="24"/>
          <w:lang w:bidi="ar-DZ"/>
        </w:rPr>
      </w:pPr>
      <w:r w:rsidRPr="00632987">
        <w:rPr>
          <w:rFonts w:ascii="Andalus" w:hAnsi="Andalus" w:cs="Andalus"/>
          <w:color w:val="000000" w:themeColor="text1"/>
          <w:sz w:val="24"/>
          <w:szCs w:val="24"/>
          <w:lang w:bidi="ar-DZ"/>
        </w:rPr>
        <w:t xml:space="preserve">   Un broyeur de fanes est une machine agricole utilisée pour réaliser le défanage mécanique des cultures de pomme de terre avant la récolte des tubercules. C'est un type de broyeur à axe horizontal qui est adapté au profil des billons des pommes de terre.</w:t>
      </w:r>
    </w:p>
    <w:p w:rsidR="001C33E1" w:rsidRPr="00632987" w:rsidRDefault="001C33E1" w:rsidP="00B877C7">
      <w:pPr>
        <w:tabs>
          <w:tab w:val="left" w:pos="2445"/>
        </w:tabs>
        <w:jc w:val="both"/>
        <w:rPr>
          <w:rFonts w:ascii="Andalus" w:hAnsi="Andalus" w:cs="Andalus"/>
          <w:color w:val="000000" w:themeColor="text1"/>
          <w:sz w:val="24"/>
          <w:szCs w:val="24"/>
          <w:lang w:bidi="ar-DZ"/>
        </w:rPr>
      </w:pPr>
      <w:r w:rsidRPr="00632987">
        <w:rPr>
          <w:rFonts w:ascii="Andalus" w:hAnsi="Andalus" w:cs="Andalus"/>
          <w:color w:val="000000" w:themeColor="text1"/>
          <w:sz w:val="24"/>
          <w:szCs w:val="24"/>
          <w:lang w:bidi="ar-DZ"/>
        </w:rPr>
        <w:t xml:space="preserve">   Les producteurs spécialisés montent souvent un broyeur de fanes à l'avant de leur tracteur tout en attelant une récolteuse de pommes de terre à l'arrière. Les broyeurs de fanes peuvent aussi être montés à l'arrière du tracteur.</w:t>
      </w:r>
    </w:p>
    <w:p w:rsidR="001C33E1" w:rsidRPr="00632987" w:rsidRDefault="001C33E1" w:rsidP="00B877C7">
      <w:pPr>
        <w:tabs>
          <w:tab w:val="left" w:pos="2445"/>
        </w:tabs>
        <w:jc w:val="both"/>
        <w:rPr>
          <w:rFonts w:ascii="Andalus" w:hAnsi="Andalus" w:cs="Andalus"/>
          <w:color w:val="000000" w:themeColor="text1"/>
          <w:sz w:val="24"/>
          <w:szCs w:val="24"/>
          <w:lang w:bidi="ar-DZ"/>
        </w:rPr>
      </w:pPr>
      <w:r w:rsidRPr="00632987">
        <w:rPr>
          <w:rFonts w:ascii="Andalus" w:hAnsi="Andalus" w:cs="Andalus"/>
          <w:color w:val="000000" w:themeColor="text1"/>
          <w:sz w:val="24"/>
          <w:szCs w:val="24"/>
          <w:lang w:bidi="ar-DZ"/>
        </w:rPr>
        <w:t xml:space="preserve">    Le broyeur de fanes utilisé au moment de la récolte, en complément d'un défanage chimique préalable, présente l'intérêt de faciliter le passage de la récolteuse mécanisée en permettant une meilleure séparation et un avancement plus rapide. Le broyeur de fanes passé environ trois semaines avant la récolte permet, en bloquant la végétation et en limitant la transmission possible de maladies, d'améliorer la qualité de la récolte, avec des tubercules, plus mûrs, de calibre plus homogène, et plus résistant aux chocs.</w:t>
      </w:r>
    </w:p>
    <w:p w:rsidR="001C33E1" w:rsidRPr="00632987" w:rsidRDefault="001C33E1" w:rsidP="00B877C7">
      <w:pPr>
        <w:tabs>
          <w:tab w:val="left" w:pos="2445"/>
        </w:tabs>
        <w:jc w:val="both"/>
        <w:rPr>
          <w:rFonts w:cs="Andalus"/>
          <w:b/>
          <w:bCs/>
          <w:color w:val="000000" w:themeColor="text1"/>
          <w:sz w:val="20"/>
          <w:szCs w:val="20"/>
          <w:rtl/>
          <w:lang w:bidi="ar-DZ"/>
        </w:rPr>
      </w:pPr>
      <w:r w:rsidRPr="00632987">
        <w:rPr>
          <w:rFonts w:cs="Andalus"/>
          <w:b/>
          <w:bCs/>
          <w:color w:val="000000" w:themeColor="text1"/>
          <w:sz w:val="20"/>
          <w:szCs w:val="20"/>
          <w:lang w:bidi="ar-DZ"/>
        </w:rPr>
        <w:t>Exemples pour broyeur de fans :</w:t>
      </w:r>
    </w:p>
    <w:p w:rsidR="00AB1B37" w:rsidRPr="00632987" w:rsidRDefault="001C33E1" w:rsidP="00B877C7">
      <w:pPr>
        <w:tabs>
          <w:tab w:val="left" w:pos="2445"/>
        </w:tabs>
        <w:jc w:val="both"/>
        <w:rPr>
          <w:rFonts w:cs="Andalus"/>
          <w:color w:val="000000" w:themeColor="text1"/>
          <w:sz w:val="20"/>
          <w:szCs w:val="20"/>
        </w:rPr>
      </w:pPr>
      <w:r w:rsidRPr="00632987">
        <w:rPr>
          <w:rFonts w:cs="Andalus"/>
          <w:noProof/>
          <w:color w:val="000000" w:themeColor="text1"/>
          <w:sz w:val="20"/>
          <w:szCs w:val="20"/>
          <w:lang w:eastAsia="fr-FR"/>
        </w:rPr>
        <w:drawing>
          <wp:inline distT="0" distB="0" distL="0" distR="0">
            <wp:extent cx="5760720" cy="1464183"/>
            <wp:effectExtent l="1905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srcRect/>
                    <a:stretch>
                      <a:fillRect/>
                    </a:stretch>
                  </pic:blipFill>
                  <pic:spPr bwMode="auto">
                    <a:xfrm>
                      <a:off x="0" y="0"/>
                      <a:ext cx="5760720" cy="1464183"/>
                    </a:xfrm>
                    <a:prstGeom prst="rect">
                      <a:avLst/>
                    </a:prstGeom>
                    <a:noFill/>
                    <a:ln w="9525">
                      <a:noFill/>
                      <a:miter lim="800000"/>
                      <a:headEnd/>
                      <a:tailEnd/>
                    </a:ln>
                  </pic:spPr>
                </pic:pic>
              </a:graphicData>
            </a:graphic>
          </wp:inline>
        </w:drawing>
      </w:r>
    </w:p>
    <w:p w:rsidR="001C33E1" w:rsidRPr="00632987" w:rsidRDefault="001C33E1" w:rsidP="00B877C7">
      <w:pPr>
        <w:tabs>
          <w:tab w:val="left" w:pos="2445"/>
        </w:tabs>
        <w:jc w:val="both"/>
        <w:rPr>
          <w:rFonts w:cs="Andalus"/>
          <w:color w:val="000000" w:themeColor="text1"/>
          <w:sz w:val="20"/>
          <w:szCs w:val="20"/>
        </w:rPr>
      </w:pPr>
    </w:p>
    <w:p w:rsidR="002A7C58" w:rsidRPr="00632987" w:rsidRDefault="002A7C58" w:rsidP="00B877C7">
      <w:pPr>
        <w:tabs>
          <w:tab w:val="left" w:pos="2445"/>
        </w:tabs>
        <w:jc w:val="both"/>
        <w:rPr>
          <w:rFonts w:cs="Andalus"/>
          <w:color w:val="000000" w:themeColor="text1"/>
          <w:sz w:val="20"/>
          <w:szCs w:val="20"/>
        </w:rPr>
      </w:pPr>
    </w:p>
    <w:p w:rsidR="002A7C58" w:rsidRPr="00632987" w:rsidRDefault="002A7C58" w:rsidP="00B877C7">
      <w:pPr>
        <w:tabs>
          <w:tab w:val="left" w:pos="2445"/>
        </w:tabs>
        <w:jc w:val="both"/>
        <w:rPr>
          <w:rFonts w:cs="Andalus"/>
          <w:color w:val="000000" w:themeColor="text1"/>
          <w:sz w:val="20"/>
          <w:szCs w:val="20"/>
        </w:rPr>
      </w:pPr>
    </w:p>
    <w:p w:rsidR="002A7C58" w:rsidRPr="00632987" w:rsidRDefault="00632987" w:rsidP="00B877C7">
      <w:pPr>
        <w:tabs>
          <w:tab w:val="left" w:pos="2445"/>
        </w:tabs>
        <w:ind w:left="360"/>
        <w:jc w:val="both"/>
        <w:rPr>
          <w:rFonts w:ascii="Andalus" w:hAnsi="Andalus" w:cs="Andalus"/>
          <w:b/>
          <w:bCs/>
          <w:color w:val="000000" w:themeColor="text1"/>
          <w:sz w:val="32"/>
          <w:szCs w:val="32"/>
        </w:rPr>
      </w:pPr>
      <w:r>
        <w:rPr>
          <w:rFonts w:ascii="Andalus" w:hAnsi="Andalus" w:cs="Andalus"/>
          <w:b/>
          <w:bCs/>
          <w:color w:val="000000" w:themeColor="text1"/>
          <w:sz w:val="32"/>
          <w:szCs w:val="32"/>
        </w:rPr>
        <w:t>Principe de broyage </w:t>
      </w:r>
      <w:r w:rsidR="005330FA" w:rsidRPr="00632987">
        <w:rPr>
          <w:rFonts w:ascii="Andalus" w:hAnsi="Andalus" w:cs="Andalus"/>
          <w:b/>
          <w:bCs/>
          <w:color w:val="000000" w:themeColor="text1"/>
          <w:sz w:val="32"/>
          <w:szCs w:val="32"/>
        </w:rPr>
        <w:t xml:space="preserve"> </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Le broyage consiste à réduire des morceaux de matériaux solides d'une taille donnée à une taille plus petite. Le principe est la fragmentation des morceaux par l'action mécanique de pièces plus résistantes, généralement métalliques.</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Un broyage est caractérisé par différents paramètres :</w:t>
      </w:r>
      <w:r w:rsidRPr="00632987">
        <w:rPr>
          <w:rFonts w:ascii="Andalus" w:hAnsi="Andalus" w:cs="Andalus"/>
          <w:color w:val="000000" w:themeColor="text1"/>
          <w:sz w:val="24"/>
          <w:szCs w:val="24"/>
        </w:rPr>
        <w:tab/>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-La capacité d'admission (taille des plus gros blocs pouvant être traités par la machine).</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-Le rapport optimal de réduction, c'est à dire le rapport de la taille des pièces à la sortie sur la taille des pièces à l'entrée. Comme toutes les pièces ne sont pas de même taille, on raisonne à partir d'une taille </w:t>
      </w:r>
      <w:r w:rsidR="00937A88" w:rsidRPr="00632987">
        <w:rPr>
          <w:rFonts w:ascii="Andalus" w:hAnsi="Andalus" w:cs="Andalus"/>
          <w:color w:val="000000" w:themeColor="text1"/>
          <w:sz w:val="24"/>
          <w:szCs w:val="24"/>
        </w:rPr>
        <w:t>seuil,</w:t>
      </w:r>
      <w:r w:rsidRPr="00632987">
        <w:rPr>
          <w:rFonts w:ascii="Andalus" w:hAnsi="Andalus" w:cs="Andalus"/>
          <w:color w:val="000000" w:themeColor="text1"/>
          <w:sz w:val="24"/>
          <w:szCs w:val="24"/>
        </w:rPr>
        <w:t xml:space="preserve"> obtenue pour 85% des pièces.</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-La distribution granulométrique en sortie.</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-Le coefficient de forme moyen, qui permet de caractériser la sphéricité des particules à la sortie.</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-Le coût de la maintenance.</w:t>
      </w:r>
    </w:p>
    <w:p w:rsidR="005330FA" w:rsidRPr="00632987" w:rsidRDefault="005330FA"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Il existe plusieurs niveaux de broyage, et les équipements à utiliser dépendent du niveau souhaité.</w:t>
      </w:r>
    </w:p>
    <w:p w:rsidR="002A7C58" w:rsidRPr="00632987" w:rsidRDefault="001E1A61" w:rsidP="00B877C7">
      <w:pPr>
        <w:tabs>
          <w:tab w:val="left" w:pos="2445"/>
        </w:tabs>
        <w:jc w:val="both"/>
        <w:rPr>
          <w:rFonts w:cs="Andalus"/>
          <w:color w:val="000000" w:themeColor="text1"/>
          <w:sz w:val="20"/>
          <w:szCs w:val="20"/>
        </w:rPr>
      </w:pPr>
      <w:r w:rsidRPr="00632987">
        <w:rPr>
          <w:rFonts w:cs="Andalus"/>
          <w:noProof/>
          <w:color w:val="000000" w:themeColor="text1"/>
          <w:sz w:val="20"/>
          <w:szCs w:val="20"/>
          <w:lang w:eastAsia="fr-FR"/>
        </w:rPr>
        <w:drawing>
          <wp:inline distT="0" distB="0" distL="0" distR="0">
            <wp:extent cx="4943475" cy="3362325"/>
            <wp:effectExtent l="19050" t="0" r="952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srcRect/>
                    <a:stretch>
                      <a:fillRect/>
                    </a:stretch>
                  </pic:blipFill>
                  <pic:spPr bwMode="auto">
                    <a:xfrm>
                      <a:off x="0" y="0"/>
                      <a:ext cx="4943475" cy="3362325"/>
                    </a:xfrm>
                    <a:prstGeom prst="rect">
                      <a:avLst/>
                    </a:prstGeom>
                    <a:noFill/>
                    <a:ln w="9525">
                      <a:noFill/>
                      <a:miter lim="800000"/>
                      <a:headEnd/>
                      <a:tailEnd/>
                    </a:ln>
                  </pic:spPr>
                </pic:pic>
              </a:graphicData>
            </a:graphic>
          </wp:inline>
        </w:drawing>
      </w:r>
    </w:p>
    <w:p w:rsidR="001E1A61" w:rsidRPr="00632987" w:rsidRDefault="00632987" w:rsidP="00B877C7">
      <w:pPr>
        <w:tabs>
          <w:tab w:val="left" w:pos="2445"/>
        </w:tabs>
        <w:ind w:left="360"/>
        <w:jc w:val="both"/>
        <w:rPr>
          <w:rFonts w:ascii="Andalus" w:hAnsi="Andalus" w:cs="Andalus"/>
          <w:b/>
          <w:bCs/>
          <w:color w:val="000000" w:themeColor="text1"/>
          <w:sz w:val="32"/>
          <w:szCs w:val="32"/>
        </w:rPr>
      </w:pPr>
      <w:r w:rsidRPr="00632987">
        <w:rPr>
          <w:rFonts w:ascii="Andalus" w:hAnsi="Andalus" w:cs="Andalus"/>
          <w:b/>
          <w:bCs/>
          <w:color w:val="000000" w:themeColor="text1"/>
          <w:sz w:val="32"/>
          <w:szCs w:val="32"/>
        </w:rPr>
        <w:t>Niveaux</w:t>
      </w:r>
      <w:r>
        <w:rPr>
          <w:rFonts w:ascii="Andalus" w:hAnsi="Andalus" w:cs="Andalus"/>
          <w:b/>
          <w:bCs/>
          <w:color w:val="000000" w:themeColor="text1"/>
          <w:sz w:val="32"/>
          <w:szCs w:val="32"/>
        </w:rPr>
        <w:t xml:space="preserve"> de broyage </w:t>
      </w:r>
    </w:p>
    <w:p w:rsidR="001E1A61" w:rsidRPr="00632987" w:rsidRDefault="001E1A61" w:rsidP="00B877C7">
      <w:pPr>
        <w:tabs>
          <w:tab w:val="left" w:pos="2445"/>
        </w:tabs>
        <w:jc w:val="both"/>
        <w:rPr>
          <w:rFonts w:ascii="Andalus" w:hAnsi="Andalus" w:cs="Andalus"/>
          <w:color w:val="000000" w:themeColor="text1"/>
          <w:sz w:val="24"/>
          <w:szCs w:val="24"/>
        </w:rPr>
      </w:pPr>
      <w:r w:rsidRPr="00632987">
        <w:rPr>
          <w:rFonts w:cs="Andalus"/>
          <w:color w:val="000000" w:themeColor="text1"/>
          <w:sz w:val="20"/>
          <w:szCs w:val="20"/>
        </w:rPr>
        <w:t xml:space="preserve">   </w:t>
      </w:r>
      <w:r w:rsidRPr="00632987">
        <w:rPr>
          <w:rFonts w:ascii="Andalus" w:hAnsi="Andalus" w:cs="Andalus"/>
          <w:color w:val="000000" w:themeColor="text1"/>
          <w:sz w:val="24"/>
          <w:szCs w:val="24"/>
        </w:rPr>
        <w:t>Il existe plusieurs niveaux de broyage, et les équipements à utiliser dépendent du niveau souhaité</w:t>
      </w:r>
      <w:r w:rsidR="00757A94" w:rsidRPr="00632987">
        <w:rPr>
          <w:rFonts w:ascii="Andalus" w:hAnsi="Andalus" w:cs="Andalus"/>
          <w:color w:val="000000" w:themeColor="text1"/>
          <w:sz w:val="24"/>
          <w:szCs w:val="24"/>
        </w:rPr>
        <w:t> :</w:t>
      </w:r>
    </w:p>
    <w:p w:rsidR="00757A94" w:rsidRPr="00632987" w:rsidRDefault="00632987" w:rsidP="00B877C7">
      <w:pPr>
        <w:tabs>
          <w:tab w:val="left" w:pos="2445"/>
        </w:tabs>
        <w:jc w:val="both"/>
        <w:rPr>
          <w:rFonts w:ascii="Andalus" w:hAnsi="Andalus" w:cs="Andalus"/>
          <w:color w:val="000000" w:themeColor="text1"/>
          <w:sz w:val="24"/>
          <w:szCs w:val="24"/>
        </w:rPr>
      </w:pPr>
      <w:r w:rsidRPr="00632987">
        <w:rPr>
          <w:rFonts w:asciiTheme="majorBidi" w:hAnsiTheme="majorBidi" w:cstheme="majorBidi"/>
          <w:b/>
          <w:bCs/>
          <w:color w:val="000000" w:themeColor="text1"/>
          <w:sz w:val="24"/>
          <w:szCs w:val="24"/>
        </w:rPr>
        <w:t>Concassage</w:t>
      </w:r>
      <w:r w:rsidR="001E1A61" w:rsidRPr="00632987">
        <w:rPr>
          <w:rFonts w:asciiTheme="majorBidi" w:hAnsiTheme="majorBidi" w:cstheme="majorBidi"/>
          <w:b/>
          <w:bCs/>
          <w:color w:val="000000" w:themeColor="text1"/>
          <w:sz w:val="24"/>
          <w:szCs w:val="24"/>
        </w:rPr>
        <w:t xml:space="preserve"> </w:t>
      </w:r>
      <w:r>
        <w:rPr>
          <w:rFonts w:asciiTheme="majorBidi" w:hAnsiTheme="majorBidi" w:cstheme="majorBidi"/>
          <w:b/>
          <w:bCs/>
          <w:color w:val="000000" w:themeColor="text1"/>
          <w:sz w:val="24"/>
          <w:szCs w:val="24"/>
        </w:rPr>
        <w:t xml:space="preserve"> </w:t>
      </w:r>
    </w:p>
    <w:p w:rsidR="001E1A61" w:rsidRPr="00632987" w:rsidRDefault="00757A94"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w:t>
      </w:r>
      <w:r w:rsidR="001E1A61" w:rsidRPr="00632987">
        <w:rPr>
          <w:rFonts w:ascii="Andalus" w:hAnsi="Andalus" w:cs="Andalus"/>
          <w:color w:val="000000" w:themeColor="text1"/>
          <w:sz w:val="24"/>
          <w:szCs w:val="24"/>
        </w:rPr>
        <w:t xml:space="preserve"> permet d'obtenir des particules de taille inférieure au cm, et est souvent utilisé en pré-broyage. Il se subdivise en concassage primaire, secondaire, tertiaire et quaternaire. Ce dernier est équivalent au broyage grossier.</w:t>
      </w:r>
    </w:p>
    <w:p w:rsidR="00757A94" w:rsidRPr="00632987" w:rsidRDefault="00632987" w:rsidP="00B877C7">
      <w:pPr>
        <w:tabs>
          <w:tab w:val="left" w:pos="2445"/>
        </w:tabs>
        <w:jc w:val="both"/>
        <w:rPr>
          <w:rFonts w:ascii="Andalus" w:hAnsi="Andalus" w:cs="Andalus"/>
          <w:color w:val="000000" w:themeColor="text1"/>
          <w:sz w:val="24"/>
          <w:szCs w:val="24"/>
        </w:rPr>
      </w:pPr>
      <w:r w:rsidRPr="00632987">
        <w:rPr>
          <w:rFonts w:asciiTheme="majorBidi" w:hAnsiTheme="majorBidi" w:cstheme="majorBidi"/>
          <w:b/>
          <w:bCs/>
          <w:color w:val="000000" w:themeColor="text1"/>
          <w:sz w:val="24"/>
          <w:szCs w:val="24"/>
        </w:rPr>
        <w:t>Broyage</w:t>
      </w:r>
      <w:r w:rsidR="001E1A61" w:rsidRPr="00632987">
        <w:rPr>
          <w:rFonts w:asciiTheme="majorBidi" w:hAnsiTheme="majorBidi" w:cstheme="majorBidi"/>
          <w:b/>
          <w:bCs/>
          <w:color w:val="000000" w:themeColor="text1"/>
          <w:sz w:val="24"/>
          <w:szCs w:val="24"/>
        </w:rPr>
        <w:t xml:space="preserve"> grossier </w:t>
      </w:r>
    </w:p>
    <w:p w:rsidR="00632987" w:rsidRDefault="00757A94"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w:t>
      </w:r>
      <w:r w:rsidR="001E1A61" w:rsidRPr="00632987">
        <w:rPr>
          <w:rFonts w:ascii="Andalus" w:hAnsi="Andalus" w:cs="Andalus"/>
          <w:color w:val="000000" w:themeColor="text1"/>
          <w:sz w:val="24"/>
          <w:szCs w:val="24"/>
        </w:rPr>
        <w:t>l permet d'obtenir des particules de l'ordre du mm.</w:t>
      </w:r>
    </w:p>
    <w:p w:rsidR="00757A94" w:rsidRPr="00632987" w:rsidRDefault="001E1A61" w:rsidP="00B877C7">
      <w:pPr>
        <w:tabs>
          <w:tab w:val="left" w:pos="2445"/>
        </w:tabs>
        <w:jc w:val="both"/>
        <w:rPr>
          <w:rFonts w:ascii="Andalus" w:hAnsi="Andalus" w:cs="Andalus"/>
          <w:color w:val="000000" w:themeColor="text1"/>
          <w:sz w:val="24"/>
          <w:szCs w:val="24"/>
        </w:rPr>
      </w:pPr>
      <w:r w:rsidRPr="00632987">
        <w:rPr>
          <w:rFonts w:asciiTheme="majorBidi" w:hAnsiTheme="majorBidi" w:cstheme="majorBidi"/>
          <w:b/>
          <w:bCs/>
          <w:color w:val="000000" w:themeColor="text1"/>
          <w:sz w:val="24"/>
          <w:szCs w:val="24"/>
        </w:rPr>
        <w:t xml:space="preserve"> </w:t>
      </w:r>
      <w:r w:rsidR="00632987" w:rsidRPr="00632987">
        <w:rPr>
          <w:rFonts w:asciiTheme="majorBidi" w:hAnsiTheme="majorBidi" w:cstheme="majorBidi"/>
          <w:b/>
          <w:bCs/>
          <w:color w:val="000000" w:themeColor="text1"/>
          <w:sz w:val="24"/>
          <w:szCs w:val="24"/>
        </w:rPr>
        <w:t>Broyage</w:t>
      </w:r>
      <w:r w:rsidRPr="00632987">
        <w:rPr>
          <w:rFonts w:asciiTheme="majorBidi" w:hAnsiTheme="majorBidi" w:cstheme="majorBidi"/>
          <w:b/>
          <w:bCs/>
          <w:color w:val="000000" w:themeColor="text1"/>
          <w:sz w:val="24"/>
          <w:szCs w:val="24"/>
        </w:rPr>
        <w:t xml:space="preserve"> fin </w:t>
      </w:r>
    </w:p>
    <w:p w:rsidR="001E1A61" w:rsidRPr="00632987" w:rsidRDefault="00757A94"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Les</w:t>
      </w:r>
      <w:r w:rsidR="001E1A61" w:rsidRPr="00632987">
        <w:rPr>
          <w:rFonts w:ascii="Andalus" w:hAnsi="Andalus" w:cs="Andalus"/>
          <w:color w:val="000000" w:themeColor="text1"/>
          <w:sz w:val="24"/>
          <w:szCs w:val="24"/>
        </w:rPr>
        <w:t xml:space="preserve"> particules obtenues varient de 10 à quelques centaines de micromètres.</w:t>
      </w:r>
    </w:p>
    <w:p w:rsidR="001E1A61" w:rsidRPr="00632987" w:rsidRDefault="00632987" w:rsidP="00B877C7">
      <w:pPr>
        <w:tabs>
          <w:tab w:val="left" w:pos="2445"/>
        </w:tabs>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Broyage</w:t>
      </w:r>
      <w:r w:rsidR="001E1A61" w:rsidRPr="00632987">
        <w:rPr>
          <w:rFonts w:asciiTheme="majorBidi" w:hAnsiTheme="majorBidi" w:cstheme="majorBidi"/>
          <w:b/>
          <w:bCs/>
          <w:color w:val="000000" w:themeColor="text1"/>
          <w:sz w:val="24"/>
          <w:szCs w:val="24"/>
        </w:rPr>
        <w:t xml:space="preserve"> </w:t>
      </w:r>
      <w:r w:rsidRPr="00632987">
        <w:rPr>
          <w:rFonts w:asciiTheme="majorBidi" w:hAnsiTheme="majorBidi" w:cstheme="majorBidi"/>
          <w:b/>
          <w:bCs/>
          <w:color w:val="000000" w:themeColor="text1"/>
          <w:sz w:val="24"/>
          <w:szCs w:val="24"/>
        </w:rPr>
        <w:t>ultrafin</w:t>
      </w:r>
      <w:r>
        <w:rPr>
          <w:rFonts w:asciiTheme="majorBidi" w:hAnsiTheme="majorBidi" w:cstheme="majorBidi"/>
          <w:b/>
          <w:bCs/>
          <w:color w:val="000000" w:themeColor="text1"/>
          <w:sz w:val="24"/>
          <w:szCs w:val="24"/>
        </w:rPr>
        <w:t> </w:t>
      </w:r>
    </w:p>
    <w:p w:rsidR="001E1A61" w:rsidRPr="00632987" w:rsidRDefault="001E1A61"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757A94" w:rsidRPr="00632987">
        <w:rPr>
          <w:rFonts w:ascii="Andalus" w:hAnsi="Andalus" w:cs="Andalus"/>
          <w:color w:val="000000" w:themeColor="text1"/>
          <w:sz w:val="24"/>
          <w:szCs w:val="24"/>
        </w:rPr>
        <w:t xml:space="preserve">   Il</w:t>
      </w:r>
      <w:r w:rsidRPr="00632987">
        <w:rPr>
          <w:rFonts w:ascii="Andalus" w:hAnsi="Andalus" w:cs="Andalus"/>
          <w:color w:val="000000" w:themeColor="text1"/>
          <w:sz w:val="24"/>
          <w:szCs w:val="24"/>
        </w:rPr>
        <w:t xml:space="preserve"> est peu utilisé et n'est nécessaire que pour certains types de recyclage, très spécifiques.</w:t>
      </w:r>
    </w:p>
    <w:p w:rsidR="001E1A61" w:rsidRPr="00632987" w:rsidRDefault="001E1A61"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Remarque 01 : Le broyage par cisaillement s'obtient par l'action de forces externes au matériau. Les machines utilisées comportent, en général, un rotor équipé de dents ou de couteaux qui travaillent en cisaillement, tranchage, éclatement ou déchiquetage.</w:t>
      </w:r>
    </w:p>
    <w:p w:rsidR="001E1A61" w:rsidRPr="00632987" w:rsidRDefault="001E1A61" w:rsidP="00B877C7">
      <w:pPr>
        <w:tabs>
          <w:tab w:val="left" w:pos="2445"/>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Remarque 02 : Dans le cas du broyage par percussion, la fragmentation des pièces s'obtient en brisant le matériau par des chocs, à une vitesse de 8 à 200 m/s. Ce choc peut être provoqué par la chute libre de matériau sur une paroi fixe et dure. Il peut aussi être réalisé dynamiquement à l'aide d'éléments métalliques (marteaux, broches,...), qui projettent le matériau contre des plaques de choc. C'est le cas le plus fréquent</w:t>
      </w:r>
    </w:p>
    <w:p w:rsidR="004E3F96" w:rsidRPr="00632987" w:rsidRDefault="00632987" w:rsidP="00B877C7">
      <w:pPr>
        <w:tabs>
          <w:tab w:val="left" w:pos="2445"/>
        </w:tabs>
        <w:ind w:left="360"/>
        <w:jc w:val="both"/>
        <w:rPr>
          <w:rFonts w:ascii="Andalus" w:hAnsi="Andalus" w:cs="Andalus"/>
          <w:b/>
          <w:bCs/>
          <w:color w:val="000000" w:themeColor="text1"/>
          <w:sz w:val="32"/>
          <w:szCs w:val="32"/>
        </w:rPr>
      </w:pPr>
      <w:r w:rsidRPr="00632987">
        <w:rPr>
          <w:rFonts w:ascii="Andalus" w:hAnsi="Andalus" w:cs="Andalus"/>
          <w:b/>
          <w:bCs/>
          <w:color w:val="000000" w:themeColor="text1"/>
          <w:sz w:val="32"/>
          <w:szCs w:val="32"/>
        </w:rPr>
        <w:t>Système</w:t>
      </w:r>
      <w:r>
        <w:rPr>
          <w:rFonts w:ascii="Andalus" w:hAnsi="Andalus" w:cs="Andalus"/>
          <w:b/>
          <w:bCs/>
          <w:color w:val="000000" w:themeColor="text1"/>
          <w:sz w:val="32"/>
          <w:szCs w:val="32"/>
        </w:rPr>
        <w:t xml:space="preserve"> de broyage </w:t>
      </w:r>
    </w:p>
    <w:p w:rsidR="00632987" w:rsidRPr="00632987" w:rsidRDefault="004E3F96" w:rsidP="00B877C7">
      <w:pPr>
        <w:tabs>
          <w:tab w:val="left" w:pos="1020"/>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 existe différents systèmes de broyage </w:t>
      </w:r>
    </w:p>
    <w:p w:rsidR="00632987" w:rsidRDefault="004E3F96" w:rsidP="00B877C7">
      <w:pPr>
        <w:tabs>
          <w:tab w:val="left" w:pos="1020"/>
        </w:tabs>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 xml:space="preserve">Broyeurs à marteaux </w:t>
      </w:r>
    </w:p>
    <w:p w:rsidR="004E3F96" w:rsidRPr="00632987" w:rsidRDefault="004E3F96" w:rsidP="00B877C7">
      <w:pPr>
        <w:tabs>
          <w:tab w:val="left" w:pos="1020"/>
        </w:tabs>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comportent un ou deux rotors équipés de marteaux en acier à haute teneur en manganèse. Ce sont les seuls équipements utilisés pour le broyage des ferrailles, des carcasses automobiles et des ordures ménagères. Ils sont parfois utilisés également pour le concassage de produits moyennement abrasifs, durs ou semi-durs, mais résistent moins bien à l'usure, dans ce cadre d'utilisation, que les concasseurs à cylindres.</w:t>
      </w:r>
    </w:p>
    <w:p w:rsidR="00757A94" w:rsidRPr="00632987" w:rsidRDefault="004E3F96"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760720" cy="1401635"/>
            <wp:effectExtent l="1905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srcRect/>
                    <a:stretch>
                      <a:fillRect/>
                    </a:stretch>
                  </pic:blipFill>
                  <pic:spPr bwMode="auto">
                    <a:xfrm>
                      <a:off x="0" y="0"/>
                      <a:ext cx="5760720" cy="1401635"/>
                    </a:xfrm>
                    <a:prstGeom prst="rect">
                      <a:avLst/>
                    </a:prstGeom>
                    <a:noFill/>
                    <a:ln w="9525">
                      <a:noFill/>
                      <a:miter lim="800000"/>
                      <a:headEnd/>
                      <a:tailEnd/>
                    </a:ln>
                  </pic:spPr>
                </pic:pic>
              </a:graphicData>
            </a:graphic>
          </wp:inline>
        </w:drawing>
      </w:r>
    </w:p>
    <w:p w:rsidR="004E3F96" w:rsidRPr="00632987" w:rsidRDefault="004E3F96" w:rsidP="00B877C7">
      <w:pPr>
        <w:pStyle w:val="Paragraphedeliste"/>
        <w:numPr>
          <w:ilvl w:val="0"/>
          <w:numId w:val="2"/>
        </w:numPr>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Broyeu</w:t>
      </w:r>
      <w:r w:rsidR="00632987">
        <w:rPr>
          <w:rFonts w:asciiTheme="majorBidi" w:hAnsiTheme="majorBidi" w:cstheme="majorBidi"/>
          <w:b/>
          <w:bCs/>
          <w:color w:val="000000" w:themeColor="text1"/>
          <w:sz w:val="24"/>
          <w:szCs w:val="24"/>
        </w:rPr>
        <w:t xml:space="preserve">rs à barres ou plaques de choc </w:t>
      </w:r>
    </w:p>
    <w:p w:rsidR="004E3F96" w:rsidRPr="00632987" w:rsidRDefault="004E3F96"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sont constitués d'acier à haute résistance, et des plaques d'usure interchangeables recouvrent les plaques de choc. Ils sont utilisés pour le broyage grossier (concassage quaternaire), en particulier pour les produits durs et abrasifs (roches par exemple).</w:t>
      </w:r>
    </w:p>
    <w:p w:rsidR="004E3F96" w:rsidRPr="00632987" w:rsidRDefault="004E3F96"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3609975" cy="1736341"/>
            <wp:effectExtent l="19050" t="0" r="952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srcRect/>
                    <a:stretch>
                      <a:fillRect/>
                    </a:stretch>
                  </pic:blipFill>
                  <pic:spPr bwMode="auto">
                    <a:xfrm>
                      <a:off x="0" y="0"/>
                      <a:ext cx="3616628" cy="1739541"/>
                    </a:xfrm>
                    <a:prstGeom prst="rect">
                      <a:avLst/>
                    </a:prstGeom>
                    <a:noFill/>
                    <a:ln w="9525">
                      <a:noFill/>
                      <a:miter lim="800000"/>
                      <a:headEnd/>
                      <a:tailEnd/>
                    </a:ln>
                  </pic:spPr>
                </pic:pic>
              </a:graphicData>
            </a:graphic>
          </wp:inline>
        </w:drawing>
      </w:r>
    </w:p>
    <w:p w:rsidR="004E3F96" w:rsidRPr="00632987" w:rsidRDefault="00632987" w:rsidP="00B877C7">
      <w:pPr>
        <w:pStyle w:val="Paragraphedeliste"/>
        <w:numPr>
          <w:ilvl w:val="0"/>
          <w:numId w:val="2"/>
        </w:numPr>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Concasseurs à mâchoires </w:t>
      </w:r>
    </w:p>
    <w:p w:rsidR="004E3F96" w:rsidRPr="00632987" w:rsidRDefault="004E3F96"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Ils sont utilisés pour les matériaux cassants et durs.</w:t>
      </w:r>
    </w:p>
    <w:p w:rsidR="004E3F96" w:rsidRPr="00632987" w:rsidRDefault="004E3F96"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760720" cy="1537227"/>
            <wp:effectExtent l="1905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srcRect/>
                    <a:stretch>
                      <a:fillRect/>
                    </a:stretch>
                  </pic:blipFill>
                  <pic:spPr bwMode="auto">
                    <a:xfrm>
                      <a:off x="0" y="0"/>
                      <a:ext cx="5760720" cy="1537227"/>
                    </a:xfrm>
                    <a:prstGeom prst="rect">
                      <a:avLst/>
                    </a:prstGeom>
                    <a:noFill/>
                    <a:ln w="9525">
                      <a:noFill/>
                      <a:miter lim="800000"/>
                      <a:headEnd/>
                      <a:tailEnd/>
                    </a:ln>
                  </pic:spPr>
                </pic:pic>
              </a:graphicData>
            </a:graphic>
          </wp:inline>
        </w:drawing>
      </w:r>
    </w:p>
    <w:p w:rsidR="004E3F96" w:rsidRPr="00632987" w:rsidRDefault="00632987" w:rsidP="00B877C7">
      <w:pPr>
        <w:pStyle w:val="Paragraphedeliste"/>
        <w:numPr>
          <w:ilvl w:val="0"/>
          <w:numId w:val="2"/>
        </w:numPr>
        <w:jc w:val="both"/>
        <w:rPr>
          <w:rFonts w:asciiTheme="majorBidi" w:hAnsiTheme="majorBidi" w:cstheme="majorBidi"/>
          <w:b/>
          <w:bCs/>
          <w:color w:val="000000" w:themeColor="text1"/>
          <w:sz w:val="24"/>
          <w:szCs w:val="24"/>
        </w:rPr>
      </w:pPr>
      <w:r>
        <w:rPr>
          <w:rFonts w:asciiTheme="majorBidi" w:hAnsiTheme="majorBidi" w:cstheme="majorBidi"/>
          <w:b/>
          <w:bCs/>
          <w:color w:val="000000" w:themeColor="text1"/>
          <w:sz w:val="24"/>
          <w:szCs w:val="24"/>
        </w:rPr>
        <w:t xml:space="preserve">Broyeurs à billes et boulets </w:t>
      </w:r>
    </w:p>
    <w:p w:rsidR="004E3F96" w:rsidRPr="00632987" w:rsidRDefault="00B12AE5"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4E3F96" w:rsidRPr="00632987">
        <w:rPr>
          <w:rFonts w:ascii="Andalus" w:hAnsi="Andalus" w:cs="Andalus"/>
          <w:color w:val="000000" w:themeColor="text1"/>
          <w:sz w:val="24"/>
          <w:szCs w:val="24"/>
        </w:rPr>
        <w:t>Les matériaux les constituant sont variés (cuves en acier revêtu de Corindur à haute teneur en alumine, en porcelaine ou en manganèse, billes en alumine frittée, porcelaine ou acier revêtu de Corindur). Ils sont utilisés pour les gros débits de broyage. Ils servent au broyage grossier comme au broyage fin.</w:t>
      </w:r>
    </w:p>
    <w:p w:rsidR="00B12AE5" w:rsidRPr="00632987" w:rsidRDefault="00B12AE5"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4267200" cy="1647413"/>
            <wp:effectExtent l="1905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a:srcRect/>
                    <a:stretch>
                      <a:fillRect/>
                    </a:stretch>
                  </pic:blipFill>
                  <pic:spPr bwMode="auto">
                    <a:xfrm>
                      <a:off x="0" y="0"/>
                      <a:ext cx="4270738" cy="1648779"/>
                    </a:xfrm>
                    <a:prstGeom prst="rect">
                      <a:avLst/>
                    </a:prstGeom>
                    <a:noFill/>
                    <a:ln w="9525">
                      <a:noFill/>
                      <a:miter lim="800000"/>
                      <a:headEnd/>
                      <a:tailEnd/>
                    </a:ln>
                  </pic:spPr>
                </pic:pic>
              </a:graphicData>
            </a:graphic>
          </wp:inline>
        </w:drawing>
      </w:r>
    </w:p>
    <w:p w:rsidR="00B12AE5" w:rsidRPr="00632987" w:rsidRDefault="00B12AE5" w:rsidP="00B877C7">
      <w:pPr>
        <w:pStyle w:val="Paragraphedeliste"/>
        <w:numPr>
          <w:ilvl w:val="0"/>
          <w:numId w:val="2"/>
        </w:numPr>
        <w:jc w:val="both"/>
        <w:rPr>
          <w:rFonts w:ascii="Andalus" w:hAnsi="Andalus" w:cs="Andalus"/>
          <w:color w:val="000000" w:themeColor="text1"/>
          <w:sz w:val="24"/>
          <w:szCs w:val="24"/>
        </w:rPr>
      </w:pPr>
      <w:r w:rsidRPr="00632987">
        <w:rPr>
          <w:rFonts w:asciiTheme="majorBidi" w:hAnsiTheme="majorBidi" w:cstheme="majorBidi"/>
          <w:b/>
          <w:bCs/>
          <w:color w:val="000000" w:themeColor="text1"/>
          <w:sz w:val="24"/>
          <w:szCs w:val="24"/>
        </w:rPr>
        <w:t>Broyeurs à cylindres</w:t>
      </w:r>
      <w:r w:rsidR="00632987">
        <w:rPr>
          <w:rFonts w:ascii="Andalus" w:hAnsi="Andalus" w:cs="Andalus"/>
          <w:color w:val="000000" w:themeColor="text1"/>
          <w:sz w:val="24"/>
          <w:szCs w:val="24"/>
        </w:rPr>
        <w:t xml:space="preserve"> </w:t>
      </w:r>
    </w:p>
    <w:p w:rsidR="00B12AE5" w:rsidRPr="00632987" w:rsidRDefault="00B12AE5"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La matière passe entre deux cylindres et ressort sous forme de plaquette friable. Ce type d'appareil est souvent utilisé en pré-broyage ou en broyage hybride. Outre le concassage des produits moyennement abrasifs, il peut servir pour le concassage de produits mous, collants, élastiques ou fibreux.</w:t>
      </w:r>
    </w:p>
    <w:p w:rsidR="00B12AE5" w:rsidRPr="00632987" w:rsidRDefault="00B12AE5"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334000" cy="1284112"/>
            <wp:effectExtent l="1905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a:srcRect/>
                    <a:stretch>
                      <a:fillRect/>
                    </a:stretch>
                  </pic:blipFill>
                  <pic:spPr bwMode="auto">
                    <a:xfrm>
                      <a:off x="0" y="0"/>
                      <a:ext cx="5332236" cy="1283687"/>
                    </a:xfrm>
                    <a:prstGeom prst="rect">
                      <a:avLst/>
                    </a:prstGeom>
                    <a:noFill/>
                    <a:ln w="9525">
                      <a:noFill/>
                      <a:miter lim="800000"/>
                      <a:headEnd/>
                      <a:tailEnd/>
                    </a:ln>
                  </pic:spPr>
                </pic:pic>
              </a:graphicData>
            </a:graphic>
          </wp:inline>
        </w:drawing>
      </w:r>
    </w:p>
    <w:p w:rsidR="00B12AE5" w:rsidRPr="00632987" w:rsidRDefault="00B12AE5" w:rsidP="00B877C7">
      <w:pPr>
        <w:pStyle w:val="Paragraphedeliste"/>
        <w:numPr>
          <w:ilvl w:val="0"/>
          <w:numId w:val="2"/>
        </w:numPr>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Broy</w:t>
      </w:r>
      <w:r w:rsidR="00632987">
        <w:rPr>
          <w:rFonts w:asciiTheme="majorBidi" w:hAnsiTheme="majorBidi" w:cstheme="majorBidi"/>
          <w:b/>
          <w:bCs/>
          <w:color w:val="000000" w:themeColor="text1"/>
          <w:sz w:val="24"/>
          <w:szCs w:val="24"/>
        </w:rPr>
        <w:t xml:space="preserve">eurs à galets ou pendulaires </w:t>
      </w:r>
    </w:p>
    <w:p w:rsidR="00B12AE5" w:rsidRPr="00632987" w:rsidRDefault="00B12AE5"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Les matériaux sont disposés sur un plateau (embase) et écrasés par le roulement de galets. Ces appareils sont souvent équipés d'un séparateur permettant d'ajuster la finesse du broyage. Ils sont principalement utilisés pour le broyage grossier.</w:t>
      </w:r>
    </w:p>
    <w:p w:rsidR="00B12AE5" w:rsidRPr="00632987" w:rsidRDefault="00B12AE5"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6169525" cy="1238250"/>
            <wp:effectExtent l="19050" t="0" r="2675"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srcRect/>
                    <a:stretch>
                      <a:fillRect/>
                    </a:stretch>
                  </pic:blipFill>
                  <pic:spPr bwMode="auto">
                    <a:xfrm>
                      <a:off x="0" y="0"/>
                      <a:ext cx="6189203" cy="1242199"/>
                    </a:xfrm>
                    <a:prstGeom prst="rect">
                      <a:avLst/>
                    </a:prstGeom>
                    <a:noFill/>
                    <a:ln w="9525">
                      <a:noFill/>
                      <a:miter lim="800000"/>
                      <a:headEnd/>
                      <a:tailEnd/>
                    </a:ln>
                  </pic:spPr>
                </pic:pic>
              </a:graphicData>
            </a:graphic>
          </wp:inline>
        </w:drawing>
      </w:r>
    </w:p>
    <w:p w:rsidR="00D965D5" w:rsidRPr="00632987" w:rsidRDefault="00D965D5" w:rsidP="00B877C7">
      <w:pPr>
        <w:pStyle w:val="Paragraphedeliste"/>
        <w:numPr>
          <w:ilvl w:val="0"/>
          <w:numId w:val="2"/>
        </w:numPr>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Déchi</w:t>
      </w:r>
      <w:r w:rsidR="00632987">
        <w:rPr>
          <w:rFonts w:asciiTheme="majorBidi" w:hAnsiTheme="majorBidi" w:cstheme="majorBidi"/>
          <w:b/>
          <w:bCs/>
          <w:color w:val="000000" w:themeColor="text1"/>
          <w:sz w:val="24"/>
          <w:szCs w:val="24"/>
        </w:rPr>
        <w:t xml:space="preserve">queteurs à cisailles rotatives </w:t>
      </w:r>
    </w:p>
    <w:p w:rsidR="00B12AE5" w:rsidRPr="00632987" w:rsidRDefault="00D965D5"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sont composés d'arbres pourvus de couteaux en forme de disques à une ou plusieurs dents. Ils sont utilisés en particulier pour le concassage de produits élastiques, fibreux, mous ou collants : bois, plastiques, fibres de verre, papiers, pneus,... Après ce déchiquetage, les produits sont dirigés vers un broyeur plus fin (à couteaux par exemple).</w:t>
      </w:r>
    </w:p>
    <w:p w:rsidR="00D965D5" w:rsidRPr="00632987" w:rsidRDefault="005E6684"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760720" cy="1618975"/>
            <wp:effectExtent l="1905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srcRect/>
                    <a:stretch>
                      <a:fillRect/>
                    </a:stretch>
                  </pic:blipFill>
                  <pic:spPr bwMode="auto">
                    <a:xfrm>
                      <a:off x="0" y="0"/>
                      <a:ext cx="5760720" cy="1618975"/>
                    </a:xfrm>
                    <a:prstGeom prst="rect">
                      <a:avLst/>
                    </a:prstGeom>
                    <a:noFill/>
                    <a:ln w="9525">
                      <a:noFill/>
                      <a:miter lim="800000"/>
                      <a:headEnd/>
                      <a:tailEnd/>
                    </a:ln>
                  </pic:spPr>
                </pic:pic>
              </a:graphicData>
            </a:graphic>
          </wp:inline>
        </w:drawing>
      </w:r>
    </w:p>
    <w:p w:rsidR="005E6684" w:rsidRPr="00632987" w:rsidRDefault="005E6684" w:rsidP="00B877C7">
      <w:pPr>
        <w:pStyle w:val="Paragraphedeliste"/>
        <w:numPr>
          <w:ilvl w:val="0"/>
          <w:numId w:val="2"/>
        </w:numPr>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Conc</w:t>
      </w:r>
      <w:r w:rsidR="00632987">
        <w:rPr>
          <w:rFonts w:asciiTheme="majorBidi" w:hAnsiTheme="majorBidi" w:cstheme="majorBidi"/>
          <w:b/>
          <w:bCs/>
          <w:color w:val="000000" w:themeColor="text1"/>
          <w:sz w:val="24"/>
          <w:szCs w:val="24"/>
        </w:rPr>
        <w:t xml:space="preserve">asseurs à dents ou à mâchoires </w:t>
      </w:r>
    </w:p>
    <w:p w:rsidR="005E6684" w:rsidRPr="00632987" w:rsidRDefault="005E6684"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servent lors du concassage primaire et secondaire de produits durs et abrasifs (roches par exemple), qui nécessitent une compression lente et ne peuvent pas être traités par un broyage par percussion à cause de leur abrasivité.</w:t>
      </w:r>
    </w:p>
    <w:p w:rsidR="005E6684" w:rsidRPr="00632987" w:rsidRDefault="005E6684"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981700" cy="1296387"/>
            <wp:effectExtent l="1905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a:srcRect/>
                    <a:stretch>
                      <a:fillRect/>
                    </a:stretch>
                  </pic:blipFill>
                  <pic:spPr bwMode="auto">
                    <a:xfrm>
                      <a:off x="0" y="0"/>
                      <a:ext cx="5985152" cy="1297135"/>
                    </a:xfrm>
                    <a:prstGeom prst="rect">
                      <a:avLst/>
                    </a:prstGeom>
                    <a:noFill/>
                    <a:ln w="9525">
                      <a:noFill/>
                      <a:miter lim="800000"/>
                      <a:headEnd/>
                      <a:tailEnd/>
                    </a:ln>
                  </pic:spPr>
                </pic:pic>
              </a:graphicData>
            </a:graphic>
          </wp:inline>
        </w:drawing>
      </w:r>
    </w:p>
    <w:p w:rsidR="00910DE4" w:rsidRPr="00632987" w:rsidRDefault="00910DE4" w:rsidP="00B877C7">
      <w:pPr>
        <w:pStyle w:val="Paragraphedeliste"/>
        <w:numPr>
          <w:ilvl w:val="0"/>
          <w:numId w:val="2"/>
        </w:numPr>
        <w:jc w:val="both"/>
        <w:rPr>
          <w:rFonts w:asciiTheme="majorBidi" w:hAnsiTheme="majorBidi" w:cstheme="majorBidi"/>
          <w:b/>
          <w:bCs/>
          <w:color w:val="000000" w:themeColor="text1"/>
          <w:sz w:val="24"/>
          <w:szCs w:val="24"/>
        </w:rPr>
      </w:pPr>
      <w:r w:rsidRPr="00632987">
        <w:rPr>
          <w:rFonts w:asciiTheme="majorBidi" w:hAnsiTheme="majorBidi" w:cstheme="majorBidi"/>
          <w:b/>
          <w:bCs/>
          <w:color w:val="000000" w:themeColor="text1"/>
          <w:sz w:val="24"/>
          <w:szCs w:val="24"/>
        </w:rPr>
        <w:t>Granulateurs à coutea</w:t>
      </w:r>
      <w:r w:rsidR="00632987">
        <w:rPr>
          <w:rFonts w:asciiTheme="majorBidi" w:hAnsiTheme="majorBidi" w:cstheme="majorBidi"/>
          <w:b/>
          <w:bCs/>
          <w:color w:val="000000" w:themeColor="text1"/>
          <w:sz w:val="24"/>
          <w:szCs w:val="24"/>
        </w:rPr>
        <w:t xml:space="preserve">ux </w:t>
      </w:r>
    </w:p>
    <w:p w:rsidR="005E6684" w:rsidRPr="00632987" w:rsidRDefault="00910DE4"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servent principalement au broyage des câbles électriques et des plastiques.</w:t>
      </w:r>
    </w:p>
    <w:p w:rsidR="00910DE4" w:rsidRPr="00632987" w:rsidRDefault="00910DE4"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5760720" cy="1613002"/>
            <wp:effectExtent l="1905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
                    <a:srcRect/>
                    <a:stretch>
                      <a:fillRect/>
                    </a:stretch>
                  </pic:blipFill>
                  <pic:spPr bwMode="auto">
                    <a:xfrm>
                      <a:off x="0" y="0"/>
                      <a:ext cx="5760720" cy="1613002"/>
                    </a:xfrm>
                    <a:prstGeom prst="rect">
                      <a:avLst/>
                    </a:prstGeom>
                    <a:noFill/>
                    <a:ln w="9525">
                      <a:noFill/>
                      <a:miter lim="800000"/>
                      <a:headEnd/>
                      <a:tailEnd/>
                    </a:ln>
                  </pic:spPr>
                </pic:pic>
              </a:graphicData>
            </a:graphic>
          </wp:inline>
        </w:drawing>
      </w:r>
    </w:p>
    <w:p w:rsidR="00B12AE5" w:rsidRPr="00632987" w:rsidRDefault="00B12AE5" w:rsidP="00B877C7">
      <w:pPr>
        <w:jc w:val="both"/>
        <w:rPr>
          <w:rFonts w:ascii="Andalus" w:hAnsi="Andalus" w:cs="Andalus"/>
          <w:color w:val="000000" w:themeColor="text1"/>
          <w:sz w:val="24"/>
          <w:szCs w:val="24"/>
        </w:rPr>
      </w:pPr>
    </w:p>
    <w:p w:rsidR="00910DE4" w:rsidRPr="00632987" w:rsidRDefault="00910DE4" w:rsidP="00B877C7">
      <w:pPr>
        <w:pStyle w:val="Paragraphedeliste"/>
        <w:numPr>
          <w:ilvl w:val="0"/>
          <w:numId w:val="2"/>
        </w:numPr>
        <w:jc w:val="both"/>
        <w:rPr>
          <w:rFonts w:ascii="Andalus" w:hAnsi="Andalus" w:cs="Andalus"/>
          <w:color w:val="000000" w:themeColor="text1"/>
          <w:sz w:val="24"/>
          <w:szCs w:val="24"/>
        </w:rPr>
      </w:pPr>
      <w:r w:rsidRPr="00632987">
        <w:rPr>
          <w:rFonts w:asciiTheme="majorBidi" w:hAnsiTheme="majorBidi" w:cstheme="majorBidi"/>
          <w:b/>
          <w:bCs/>
          <w:color w:val="000000" w:themeColor="text1"/>
          <w:sz w:val="24"/>
          <w:szCs w:val="24"/>
        </w:rPr>
        <w:t>Dilacérateurs</w:t>
      </w:r>
      <w:r w:rsidRPr="00632987">
        <w:rPr>
          <w:rFonts w:ascii="Andalus" w:hAnsi="Andalus" w:cs="Andalus"/>
          <w:color w:val="000000" w:themeColor="text1"/>
          <w:sz w:val="24"/>
          <w:szCs w:val="24"/>
        </w:rPr>
        <w:t xml:space="preserve"> </w:t>
      </w:r>
    </w:p>
    <w:p w:rsidR="00910DE4" w:rsidRPr="00632987" w:rsidRDefault="00910DE4"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Ils sont utilisés pour broyer les résidus solides contenus dans les liquides. Ils comportent une pompe dilacératrice qui broie les particules solides et les transfère vers l'aval.</w:t>
      </w:r>
    </w:p>
    <w:p w:rsidR="00473AF9" w:rsidRPr="00632987" w:rsidRDefault="00910DE4" w:rsidP="00B877C7">
      <w:pPr>
        <w:jc w:val="both"/>
        <w:rPr>
          <w:rFonts w:ascii="Andalus" w:hAnsi="Andalus" w:cs="Andalus"/>
          <w:color w:val="000000" w:themeColor="text1"/>
          <w:sz w:val="24"/>
          <w:szCs w:val="24"/>
        </w:rPr>
      </w:pPr>
      <w:r w:rsidRPr="00632987">
        <w:rPr>
          <w:rFonts w:ascii="Andalus" w:hAnsi="Andalus" w:cs="Andalus"/>
          <w:noProof/>
          <w:color w:val="000000" w:themeColor="text1"/>
          <w:sz w:val="24"/>
          <w:szCs w:val="24"/>
          <w:lang w:eastAsia="fr-FR"/>
        </w:rPr>
        <w:drawing>
          <wp:inline distT="0" distB="0" distL="0" distR="0">
            <wp:extent cx="6094035" cy="1381125"/>
            <wp:effectExtent l="19050" t="0" r="1965"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a:srcRect/>
                    <a:stretch>
                      <a:fillRect/>
                    </a:stretch>
                  </pic:blipFill>
                  <pic:spPr bwMode="auto">
                    <a:xfrm>
                      <a:off x="0" y="0"/>
                      <a:ext cx="6097113" cy="1381822"/>
                    </a:xfrm>
                    <a:prstGeom prst="rect">
                      <a:avLst/>
                    </a:prstGeom>
                    <a:noFill/>
                    <a:ln w="9525">
                      <a:noFill/>
                      <a:miter lim="800000"/>
                      <a:headEnd/>
                      <a:tailEnd/>
                    </a:ln>
                  </pic:spPr>
                </pic:pic>
              </a:graphicData>
            </a:graphic>
          </wp:inline>
        </w:drawing>
      </w:r>
    </w:p>
    <w:p w:rsidR="004E3F96" w:rsidRPr="00632987" w:rsidRDefault="004E3F96" w:rsidP="00B877C7">
      <w:pPr>
        <w:ind w:left="360"/>
        <w:jc w:val="both"/>
        <w:rPr>
          <w:rFonts w:ascii="Andalus" w:hAnsi="Andalus" w:cs="Andalus"/>
          <w:color w:val="000000" w:themeColor="text1"/>
          <w:sz w:val="24"/>
          <w:szCs w:val="24"/>
        </w:rPr>
      </w:pPr>
    </w:p>
    <w:p w:rsidR="00473AF9" w:rsidRPr="00632987" w:rsidRDefault="00473AF9" w:rsidP="00B877C7">
      <w:pPr>
        <w:jc w:val="both"/>
        <w:rPr>
          <w:rFonts w:ascii="Andalus" w:hAnsi="Andalus" w:cs="Andalus"/>
          <w:b/>
          <w:bCs/>
          <w:color w:val="000000" w:themeColor="text1"/>
          <w:sz w:val="32"/>
          <w:szCs w:val="32"/>
        </w:rPr>
      </w:pPr>
      <w:r w:rsidRPr="00632987">
        <w:rPr>
          <w:rFonts w:ascii="Andalus" w:hAnsi="Andalus" w:cs="Andalus"/>
          <w:b/>
          <w:bCs/>
          <w:color w:val="000000" w:themeColor="text1"/>
          <w:sz w:val="32"/>
          <w:szCs w:val="32"/>
        </w:rPr>
        <w:t xml:space="preserve"> </w:t>
      </w:r>
      <w:r w:rsidR="00632987" w:rsidRPr="00632987">
        <w:rPr>
          <w:rFonts w:ascii="Andalus" w:hAnsi="Andalus" w:cs="Andalus"/>
          <w:b/>
          <w:bCs/>
          <w:color w:val="000000" w:themeColor="text1"/>
          <w:sz w:val="32"/>
          <w:szCs w:val="32"/>
        </w:rPr>
        <w:t>calcul</w:t>
      </w:r>
      <w:r w:rsidRPr="00632987">
        <w:rPr>
          <w:rFonts w:ascii="Andalus" w:hAnsi="Andalus" w:cs="Andalus"/>
          <w:b/>
          <w:bCs/>
          <w:color w:val="000000" w:themeColor="text1"/>
          <w:sz w:val="32"/>
          <w:szCs w:val="32"/>
        </w:rPr>
        <w:t xml:space="preserve">  </w:t>
      </w:r>
    </w:p>
    <w:p w:rsidR="00473AF9" w:rsidRPr="00632987" w:rsidRDefault="00473AF9" w:rsidP="00B877C7">
      <w:pPr>
        <w:jc w:val="both"/>
        <w:rPr>
          <w:rFonts w:ascii="Andalus" w:hAnsi="Andalus" w:cs="Andalus"/>
          <w:b/>
          <w:bCs/>
          <w:color w:val="000000" w:themeColor="text1"/>
          <w:sz w:val="32"/>
          <w:szCs w:val="32"/>
        </w:rPr>
      </w:pPr>
      <w:r w:rsidRPr="00632987">
        <w:rPr>
          <w:noProof/>
          <w:color w:val="000000" w:themeColor="text1"/>
          <w:sz w:val="28"/>
          <w:szCs w:val="28"/>
          <w:bdr w:val="none" w:sz="0" w:space="0" w:color="auto" w:frame="1"/>
          <w:shd w:val="clear" w:color="auto" w:fill="FFFFFF"/>
          <w:lang w:eastAsia="fr-FR"/>
        </w:rPr>
        <w:drawing>
          <wp:inline distT="0" distB="0" distL="0" distR="0">
            <wp:extent cx="5760720" cy="3655363"/>
            <wp:effectExtent l="19050" t="0" r="0" b="0"/>
            <wp:docPr id="6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31"/>
                    <a:srcRect/>
                    <a:stretch>
                      <a:fillRect/>
                    </a:stretch>
                  </pic:blipFill>
                  <pic:spPr bwMode="auto">
                    <a:xfrm>
                      <a:off x="0" y="0"/>
                      <a:ext cx="5760720" cy="3655363"/>
                    </a:xfrm>
                    <a:prstGeom prst="rect">
                      <a:avLst/>
                    </a:prstGeom>
                    <a:noFill/>
                    <a:ln w="9525">
                      <a:noFill/>
                      <a:miter lim="800000"/>
                      <a:headEnd/>
                      <a:tailEnd/>
                    </a:ln>
                  </pic:spPr>
                </pic:pic>
              </a:graphicData>
            </a:graphic>
          </wp:inline>
        </w:drawing>
      </w:r>
    </w:p>
    <w:p w:rsidR="00473AF9" w:rsidRPr="00632987" w:rsidRDefault="00632987" w:rsidP="00B877C7">
      <w:pPr>
        <w:ind w:left="360"/>
        <w:jc w:val="both"/>
        <w:rPr>
          <w:rFonts w:ascii="Andalus" w:hAnsi="Andalus" w:cs="Andalus"/>
          <w:b/>
          <w:bCs/>
          <w:color w:val="000000" w:themeColor="text1"/>
          <w:sz w:val="32"/>
          <w:szCs w:val="32"/>
        </w:rPr>
      </w:pPr>
      <w:r>
        <w:rPr>
          <w:rFonts w:ascii="Andalus" w:hAnsi="Andalus" w:cs="Andalus"/>
          <w:b/>
          <w:bCs/>
          <w:color w:val="000000" w:themeColor="text1"/>
          <w:sz w:val="32"/>
          <w:szCs w:val="32"/>
        </w:rPr>
        <w:t>Conclusion </w:t>
      </w:r>
    </w:p>
    <w:p w:rsidR="00247367" w:rsidRPr="00632987" w:rsidRDefault="00547741"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247367" w:rsidRPr="00632987">
        <w:rPr>
          <w:rFonts w:ascii="Andalus" w:hAnsi="Andalus" w:cs="Andalus"/>
          <w:color w:val="000000" w:themeColor="text1"/>
          <w:sz w:val="24"/>
          <w:szCs w:val="24"/>
        </w:rPr>
        <w:t>Le broyage c’est une opération essentielle dans la préparation mécanique du minerai a pour but de réduire en maximum la taille des minerais, et pour l’effectuer on a plusieurs machines, on choisit chaque machine selon les types et les propriétés des minerais.</w:t>
      </w:r>
    </w:p>
    <w:p w:rsidR="00247367" w:rsidRPr="00632987" w:rsidRDefault="00247367" w:rsidP="00B877C7">
      <w:pPr>
        <w:jc w:val="both"/>
        <w:rPr>
          <w:rFonts w:ascii="Andalus" w:hAnsi="Andalus" w:cs="Andalus"/>
          <w:color w:val="000000" w:themeColor="text1"/>
          <w:sz w:val="24"/>
          <w:szCs w:val="24"/>
        </w:rPr>
      </w:pPr>
      <w:r w:rsidRPr="00632987">
        <w:rPr>
          <w:rFonts w:ascii="Andalus" w:hAnsi="Andalus" w:cs="Andalus"/>
          <w:color w:val="000000" w:themeColor="text1"/>
          <w:sz w:val="24"/>
          <w:szCs w:val="24"/>
        </w:rPr>
        <w:t xml:space="preserve"> </w:t>
      </w:r>
      <w:r w:rsidR="00547741" w:rsidRPr="00632987">
        <w:rPr>
          <w:rFonts w:ascii="Andalus" w:hAnsi="Andalus" w:cs="Andalus"/>
          <w:color w:val="000000" w:themeColor="text1"/>
          <w:sz w:val="24"/>
          <w:szCs w:val="24"/>
        </w:rPr>
        <w:t xml:space="preserve">  </w:t>
      </w:r>
      <w:r w:rsidRPr="00632987">
        <w:rPr>
          <w:rFonts w:ascii="Andalus" w:hAnsi="Andalus" w:cs="Andalus"/>
          <w:color w:val="000000" w:themeColor="text1"/>
          <w:sz w:val="24"/>
          <w:szCs w:val="24"/>
        </w:rPr>
        <w:t xml:space="preserve">  </w:t>
      </w:r>
    </w:p>
    <w:p w:rsidR="00547741" w:rsidRPr="00632987" w:rsidRDefault="00632987" w:rsidP="00B877C7">
      <w:pPr>
        <w:ind w:left="360"/>
        <w:jc w:val="both"/>
        <w:rPr>
          <w:rFonts w:asciiTheme="majorHAnsi" w:hAnsiTheme="majorHAnsi" w:cs="Andalus"/>
          <w:b/>
          <w:bCs/>
          <w:color w:val="000000" w:themeColor="text1"/>
          <w:sz w:val="20"/>
          <w:szCs w:val="20"/>
        </w:rPr>
      </w:pPr>
      <w:r w:rsidRPr="00632987">
        <w:rPr>
          <w:rFonts w:ascii="Andalus" w:hAnsi="Andalus" w:cs="Andalus"/>
          <w:b/>
          <w:bCs/>
          <w:color w:val="000000" w:themeColor="text1"/>
          <w:sz w:val="32"/>
          <w:szCs w:val="32"/>
        </w:rPr>
        <w:t>Référence</w:t>
      </w:r>
      <w:r w:rsidR="00547741" w:rsidRPr="00632987">
        <w:rPr>
          <w:rFonts w:ascii="Andalus" w:hAnsi="Andalus" w:cs="Andalus"/>
          <w:b/>
          <w:bCs/>
          <w:color w:val="000000" w:themeColor="text1"/>
          <w:sz w:val="32"/>
          <w:szCs w:val="32"/>
        </w:rPr>
        <w:t> </w:t>
      </w:r>
      <w:r w:rsidR="00547741" w:rsidRPr="00632987">
        <w:rPr>
          <w:rFonts w:asciiTheme="majorHAnsi" w:hAnsiTheme="majorHAnsi" w:cs="Andalus"/>
          <w:b/>
          <w:bCs/>
          <w:color w:val="000000" w:themeColor="text1"/>
          <w:sz w:val="20"/>
          <w:szCs w:val="20"/>
        </w:rPr>
        <w:t xml:space="preserve"> </w:t>
      </w:r>
    </w:p>
    <w:p w:rsidR="00547741" w:rsidRPr="00632987" w:rsidRDefault="00547741" w:rsidP="00B877C7">
      <w:pPr>
        <w:jc w:val="both"/>
        <w:rPr>
          <w:rFonts w:asciiTheme="majorHAnsi" w:hAnsiTheme="majorHAnsi" w:cs="Andalus"/>
          <w:color w:val="000000" w:themeColor="text1"/>
          <w:sz w:val="20"/>
          <w:szCs w:val="20"/>
        </w:rPr>
      </w:pPr>
      <w:r w:rsidRPr="00632987">
        <w:rPr>
          <w:rFonts w:asciiTheme="majorHAnsi" w:hAnsiTheme="majorHAnsi" w:cs="Andalus"/>
          <w:b/>
          <w:bCs/>
          <w:color w:val="000000" w:themeColor="text1"/>
          <w:sz w:val="20"/>
          <w:szCs w:val="20"/>
        </w:rPr>
        <w:t>→ -Géo Wiki-</w:t>
      </w:r>
      <w:r w:rsidRPr="00632987">
        <w:rPr>
          <w:rFonts w:asciiTheme="majorHAnsi" w:hAnsiTheme="majorHAnsi" w:cs="Andalus"/>
          <w:color w:val="000000" w:themeColor="text1"/>
          <w:sz w:val="20"/>
          <w:szCs w:val="20"/>
        </w:rPr>
        <w:t xml:space="preserve"> : </w:t>
      </w:r>
      <w:hyperlink w:history="1">
        <w:r w:rsidRPr="00632987">
          <w:rPr>
            <w:rStyle w:val="Lienhypertexte"/>
            <w:rFonts w:asciiTheme="majorHAnsi" w:hAnsiTheme="majorHAnsi" w:cs="Andalus"/>
            <w:color w:val="000000" w:themeColor="text1"/>
            <w:sz w:val="20"/>
            <w:szCs w:val="20"/>
            <w:u w:val="none"/>
          </w:rPr>
          <w:t xml:space="preserve">www.geowiki.fr </w:t>
        </w:r>
      </w:hyperlink>
    </w:p>
    <w:p w:rsidR="00547741" w:rsidRPr="00632987" w:rsidRDefault="00547741" w:rsidP="00B877C7">
      <w:pPr>
        <w:jc w:val="both"/>
        <w:rPr>
          <w:rFonts w:asciiTheme="majorHAnsi" w:hAnsiTheme="majorHAnsi" w:cs="Andalus"/>
          <w:color w:val="000000" w:themeColor="text1"/>
          <w:sz w:val="20"/>
          <w:szCs w:val="20"/>
        </w:rPr>
      </w:pPr>
      <w:r w:rsidRPr="00632987">
        <w:rPr>
          <w:rFonts w:asciiTheme="majorHAnsi" w:hAnsiTheme="majorHAnsi" w:cs="Andalus"/>
          <w:b/>
          <w:bCs/>
          <w:color w:val="000000" w:themeColor="text1"/>
          <w:sz w:val="20"/>
          <w:szCs w:val="20"/>
        </w:rPr>
        <w:t>→TP Valorisation des ressources minières</w:t>
      </w:r>
      <w:r w:rsidRPr="00632987">
        <w:rPr>
          <w:rFonts w:asciiTheme="majorHAnsi" w:hAnsiTheme="majorHAnsi" w:cs="Andalus"/>
          <w:color w:val="000000" w:themeColor="text1"/>
          <w:sz w:val="20"/>
          <w:szCs w:val="20"/>
        </w:rPr>
        <w:t xml:space="preserve"> : </w:t>
      </w:r>
      <w:hyperlink r:id="rId32" w:history="1">
        <w:r w:rsidRPr="00632987">
          <w:rPr>
            <w:rStyle w:val="Lienhypertexte"/>
            <w:rFonts w:asciiTheme="majorHAnsi" w:hAnsiTheme="majorHAnsi" w:cs="Andalus"/>
            <w:color w:val="000000" w:themeColor="text1"/>
            <w:sz w:val="20"/>
            <w:szCs w:val="20"/>
            <w:u w:val="none"/>
          </w:rPr>
          <w:t>http://facsct.univ-annaba.dz/?p=3462</w:t>
        </w:r>
      </w:hyperlink>
      <w:r w:rsidRPr="00632987">
        <w:rPr>
          <w:rFonts w:asciiTheme="majorHAnsi" w:hAnsiTheme="majorHAnsi" w:cs="Andalus"/>
          <w:color w:val="000000" w:themeColor="text1"/>
          <w:sz w:val="20"/>
          <w:szCs w:val="20"/>
        </w:rPr>
        <w:t xml:space="preserve"> </w:t>
      </w:r>
    </w:p>
    <w:p w:rsidR="00547741" w:rsidRPr="00632987" w:rsidRDefault="00547741" w:rsidP="00B877C7">
      <w:pPr>
        <w:jc w:val="both"/>
        <w:rPr>
          <w:rFonts w:asciiTheme="majorHAnsi" w:hAnsiTheme="majorHAnsi" w:cs="Andalus"/>
          <w:color w:val="000000" w:themeColor="text1"/>
          <w:sz w:val="20"/>
          <w:szCs w:val="20"/>
        </w:rPr>
      </w:pPr>
      <w:r w:rsidRPr="00632987">
        <w:rPr>
          <w:rFonts w:asciiTheme="majorHAnsi" w:hAnsiTheme="majorHAnsi" w:cs="Andalus"/>
          <w:b/>
          <w:bCs/>
          <w:color w:val="000000" w:themeColor="text1"/>
          <w:sz w:val="20"/>
          <w:szCs w:val="20"/>
        </w:rPr>
        <w:t xml:space="preserve">→Wikipedia FR : </w:t>
      </w:r>
      <w:hyperlink r:id="rId33" w:history="1">
        <w:r w:rsidRPr="00632987">
          <w:rPr>
            <w:rStyle w:val="Lienhypertexte"/>
            <w:rFonts w:asciiTheme="majorHAnsi" w:hAnsiTheme="majorHAnsi" w:cs="Andalus"/>
            <w:color w:val="000000" w:themeColor="text1"/>
            <w:sz w:val="20"/>
            <w:szCs w:val="20"/>
            <w:u w:val="none"/>
          </w:rPr>
          <w:t>https://fr.wikipedia.org</w:t>
        </w:r>
      </w:hyperlink>
    </w:p>
    <w:p w:rsidR="00547741" w:rsidRPr="00632987" w:rsidRDefault="00547741" w:rsidP="00B877C7">
      <w:pPr>
        <w:jc w:val="both"/>
        <w:rPr>
          <w:rFonts w:asciiTheme="majorHAnsi" w:hAnsiTheme="majorHAnsi" w:cs="Andalus"/>
          <w:color w:val="000000" w:themeColor="text1"/>
          <w:sz w:val="20"/>
          <w:szCs w:val="20"/>
        </w:rPr>
      </w:pPr>
      <w:r w:rsidRPr="00632987">
        <w:rPr>
          <w:rFonts w:asciiTheme="majorHAnsi" w:hAnsiTheme="majorHAnsi" w:cs="Andalus"/>
          <w:color w:val="000000" w:themeColor="text1"/>
          <w:sz w:val="20"/>
          <w:szCs w:val="20"/>
        </w:rPr>
        <w:t>→</w:t>
      </w:r>
      <w:r w:rsidRPr="00632987">
        <w:rPr>
          <w:b/>
          <w:bCs/>
          <w:color w:val="000000" w:themeColor="text1"/>
          <w:sz w:val="20"/>
          <w:szCs w:val="20"/>
        </w:rPr>
        <w:t xml:space="preserve"> </w:t>
      </w:r>
      <w:r w:rsidRPr="00632987">
        <w:rPr>
          <w:rFonts w:asciiTheme="majorHAnsi" w:hAnsiTheme="majorHAnsi"/>
          <w:b/>
          <w:bCs/>
          <w:color w:val="000000" w:themeColor="text1"/>
          <w:sz w:val="20"/>
          <w:szCs w:val="20"/>
        </w:rPr>
        <w:t>-wikhidro-</w:t>
      </w:r>
      <w:r w:rsidRPr="00632987">
        <w:rPr>
          <w:b/>
          <w:bCs/>
          <w:color w:val="000000" w:themeColor="text1"/>
          <w:sz w:val="20"/>
          <w:szCs w:val="20"/>
        </w:rPr>
        <w:t> :</w:t>
      </w:r>
      <w:r w:rsidRPr="00632987">
        <w:rPr>
          <w:color w:val="000000" w:themeColor="text1"/>
        </w:rPr>
        <w:t xml:space="preserve"> </w:t>
      </w:r>
      <w:r w:rsidRPr="00632987">
        <w:rPr>
          <w:rFonts w:asciiTheme="majorHAnsi" w:hAnsiTheme="majorHAnsi" w:cs="Andalus"/>
          <w:color w:val="000000" w:themeColor="text1"/>
          <w:sz w:val="20"/>
          <w:szCs w:val="20"/>
        </w:rPr>
        <w:t>https://wikhydro.developpement-durable.gouv.fr/</w:t>
      </w:r>
    </w:p>
    <w:p w:rsidR="00547741" w:rsidRPr="00632987" w:rsidRDefault="00547741" w:rsidP="00B877C7">
      <w:pPr>
        <w:jc w:val="both"/>
        <w:rPr>
          <w:rFonts w:ascii="Andalus" w:hAnsi="Andalus" w:cs="Andalus"/>
          <w:color w:val="000000" w:themeColor="text1"/>
          <w:sz w:val="24"/>
          <w:szCs w:val="24"/>
        </w:rPr>
      </w:pPr>
    </w:p>
    <w:sectPr w:rsidR="00547741" w:rsidRPr="00632987" w:rsidSect="00B877C7">
      <w:headerReference w:type="default" r:id="rId34"/>
      <w:footerReference w:type="default" r:id="rId35"/>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7DE0" w:rsidRDefault="00ED7DE0" w:rsidP="002A7C58">
      <w:pPr>
        <w:spacing w:after="0" w:line="240" w:lineRule="auto"/>
      </w:pPr>
      <w:r>
        <w:separator/>
      </w:r>
    </w:p>
  </w:endnote>
  <w:endnote w:type="continuationSeparator" w:id="1">
    <w:p w:rsidR="00ED7DE0" w:rsidRDefault="00ED7DE0" w:rsidP="002A7C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ndalus">
    <w:altName w:val="Times New Roman"/>
    <w:charset w:val="00"/>
    <w:family w:val="roman"/>
    <w:pitch w:val="variable"/>
    <w:sig w:usb0="00000000"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1461193"/>
      <w:docPartObj>
        <w:docPartGallery w:val="Page Numbers (Bottom of Page)"/>
        <w:docPartUnique/>
      </w:docPartObj>
    </w:sdtPr>
    <w:sdtContent>
      <w:p w:rsidR="007612C5" w:rsidRDefault="00AC7922">
        <w:pPr>
          <w:pStyle w:val="Pieddepage"/>
        </w:pPr>
        <w:r>
          <w:rPr>
            <w:noProof/>
            <w:lang w:eastAsia="zh-TW"/>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3073" type="#_x0000_t5" style="position:absolute;margin-left:1274.5pt;margin-top:0;width:167.4pt;height:161.8pt;z-index:251660288;mso-position-horizontal:right;mso-position-horizontal-relative:page;mso-position-vertical:bottom;mso-position-vertical-relative:page" adj="21600" fillcolor="#d2eaf1 [824]" stroked="f">
              <v:textbox style="mso-next-textbox:#_x0000_s3073">
                <w:txbxContent>
                  <w:p w:rsidR="007612C5" w:rsidRPr="007612C5" w:rsidRDefault="007612C5">
                    <w:pPr>
                      <w:jc w:val="center"/>
                      <w:rPr>
                        <w:color w:val="000000" w:themeColor="text1"/>
                        <w:sz w:val="40"/>
                        <w:szCs w:val="40"/>
                      </w:rPr>
                    </w:pPr>
                    <w:r>
                      <w:rPr>
                        <w:color w:val="000000" w:themeColor="text1"/>
                        <w:sz w:val="40"/>
                        <w:szCs w:val="40"/>
                      </w:rPr>
                      <w:t xml:space="preserve">                   </w:t>
                    </w:r>
                    <w:r w:rsidR="00AC7922" w:rsidRPr="007612C5">
                      <w:rPr>
                        <w:color w:val="000000" w:themeColor="text1"/>
                        <w:sz w:val="40"/>
                        <w:szCs w:val="40"/>
                      </w:rPr>
                      <w:fldChar w:fldCharType="begin"/>
                    </w:r>
                    <w:r w:rsidRPr="007612C5">
                      <w:rPr>
                        <w:color w:val="000000" w:themeColor="text1"/>
                        <w:sz w:val="40"/>
                        <w:szCs w:val="40"/>
                      </w:rPr>
                      <w:instrText xml:space="preserve"> PAGE    \* MERGEFORMAT </w:instrText>
                    </w:r>
                    <w:r w:rsidR="00AC7922" w:rsidRPr="007612C5">
                      <w:rPr>
                        <w:color w:val="000000" w:themeColor="text1"/>
                        <w:sz w:val="40"/>
                        <w:szCs w:val="40"/>
                      </w:rPr>
                      <w:fldChar w:fldCharType="separate"/>
                    </w:r>
                    <w:r w:rsidR="00ED7DE0" w:rsidRPr="00ED7DE0">
                      <w:rPr>
                        <w:rFonts w:asciiTheme="majorHAnsi" w:hAnsiTheme="majorHAnsi"/>
                        <w:noProof/>
                        <w:color w:val="000000" w:themeColor="text1"/>
                        <w:sz w:val="40"/>
                        <w:szCs w:val="40"/>
                      </w:rPr>
                      <w:t>1</w:t>
                    </w:r>
                    <w:r w:rsidR="00AC7922" w:rsidRPr="007612C5">
                      <w:rPr>
                        <w:color w:val="000000" w:themeColor="text1"/>
                        <w:sz w:val="40"/>
                        <w:szCs w:val="40"/>
                      </w:rPr>
                      <w:fldChar w:fldCharType="end"/>
                    </w:r>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7DE0" w:rsidRDefault="00ED7DE0" w:rsidP="002A7C58">
      <w:pPr>
        <w:spacing w:after="0" w:line="240" w:lineRule="auto"/>
      </w:pPr>
      <w:r>
        <w:separator/>
      </w:r>
    </w:p>
  </w:footnote>
  <w:footnote w:type="continuationSeparator" w:id="1">
    <w:p w:rsidR="00ED7DE0" w:rsidRDefault="00ED7DE0" w:rsidP="002A7C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01F1" w:rsidRDefault="00E201F1" w:rsidP="00E201F1">
    <w:pPr>
      <w:pStyle w:val="En-tte"/>
    </w:pPr>
    <w:r>
      <w:t>Université BADJI MOKHTAR Annaba                                                          2019/2020</w:t>
    </w:r>
  </w:p>
  <w:p w:rsidR="00E201F1" w:rsidRDefault="00E201F1" w:rsidP="00E201F1">
    <w:pPr>
      <w:pStyle w:val="En-tte"/>
    </w:pPr>
    <w:r>
      <w:t xml:space="preserve">Faculté des sciences de la terre </w:t>
    </w:r>
  </w:p>
  <w:p w:rsidR="00E201F1" w:rsidRDefault="00E201F1" w:rsidP="00E201F1">
    <w:pPr>
      <w:pStyle w:val="En-tte"/>
    </w:pPr>
    <w:r>
      <w:t>Département des mines                             Groupe L 2 Mines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BD6794"/>
    <w:multiLevelType w:val="hybridMultilevel"/>
    <w:tmpl w:val="2C62FB62"/>
    <w:lvl w:ilvl="0" w:tplc="9A8A3DC0">
      <w:start w:val="1"/>
      <w:numFmt w:val="bullet"/>
      <w:lvlText w:val=""/>
      <w:lvlJc w:val="left"/>
      <w:pPr>
        <w:ind w:left="720" w:hanging="360"/>
      </w:pPr>
      <w:rPr>
        <w:rFonts w:ascii="Wingdings" w:hAnsi="Wingdings" w:hint="default"/>
        <w:b/>
        <w:bCs/>
        <w:color w:val="FF0000"/>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5921C51"/>
    <w:multiLevelType w:val="hybridMultilevel"/>
    <w:tmpl w:val="8FB46ABC"/>
    <w:lvl w:ilvl="0" w:tplc="C1846690">
      <w:start w:val="1"/>
      <w:numFmt w:val="bullet"/>
      <w:lvlText w:val=""/>
      <w:lvlJc w:val="left"/>
      <w:pPr>
        <w:ind w:left="720" w:hanging="360"/>
      </w:pPr>
      <w:rPr>
        <w:rFonts w:ascii="Symbol" w:hAnsi="Symbol" w:hint="default"/>
        <w:color w:val="548DD4" w:themeColor="text2" w:themeTint="9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4683C05"/>
    <w:multiLevelType w:val="hybridMultilevel"/>
    <w:tmpl w:val="EE1645DA"/>
    <w:lvl w:ilvl="0" w:tplc="351CE502">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3A464BDE"/>
    <w:multiLevelType w:val="hybridMultilevel"/>
    <w:tmpl w:val="D3C4B6A2"/>
    <w:lvl w:ilvl="0" w:tplc="863E6C92">
      <w:start w:val="1"/>
      <w:numFmt w:val="bullet"/>
      <w:lvlText w:val=""/>
      <w:lvlJc w:val="left"/>
      <w:pPr>
        <w:ind w:left="720" w:hanging="360"/>
      </w:pPr>
      <w:rPr>
        <w:rFonts w:ascii="Wingdings" w:hAnsi="Wingdings" w:hint="default"/>
        <w:b/>
        <w:bCs w:val="0"/>
        <w:color w:val="FF0000"/>
        <w:sz w:val="32"/>
        <w:szCs w:val="32"/>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hdrShapeDefaults>
    <o:shapedefaults v:ext="edit" spidmax="8194"/>
    <o:shapelayout v:ext="edit">
      <o:idmap v:ext="edit" data="3"/>
    </o:shapelayout>
  </w:hdrShapeDefaults>
  <w:footnotePr>
    <w:footnote w:id="0"/>
    <w:footnote w:id="1"/>
  </w:footnotePr>
  <w:endnotePr>
    <w:endnote w:id="0"/>
    <w:endnote w:id="1"/>
  </w:endnotePr>
  <w:compat/>
  <w:rsids>
    <w:rsidRoot w:val="00350001"/>
    <w:rsid w:val="000C3DA8"/>
    <w:rsid w:val="001702FD"/>
    <w:rsid w:val="00186752"/>
    <w:rsid w:val="001B2021"/>
    <w:rsid w:val="001C33E1"/>
    <w:rsid w:val="001E1A61"/>
    <w:rsid w:val="00247367"/>
    <w:rsid w:val="002A4120"/>
    <w:rsid w:val="002A7C58"/>
    <w:rsid w:val="00312157"/>
    <w:rsid w:val="00350001"/>
    <w:rsid w:val="00473AF9"/>
    <w:rsid w:val="004D102C"/>
    <w:rsid w:val="004E3F96"/>
    <w:rsid w:val="005330FA"/>
    <w:rsid w:val="00547741"/>
    <w:rsid w:val="005E6684"/>
    <w:rsid w:val="00620AE0"/>
    <w:rsid w:val="00632987"/>
    <w:rsid w:val="00757A94"/>
    <w:rsid w:val="007612C5"/>
    <w:rsid w:val="007D0CD0"/>
    <w:rsid w:val="00910DE4"/>
    <w:rsid w:val="00937A88"/>
    <w:rsid w:val="009543C3"/>
    <w:rsid w:val="00AB1B37"/>
    <w:rsid w:val="00AB4CF1"/>
    <w:rsid w:val="00AC7922"/>
    <w:rsid w:val="00B12AE5"/>
    <w:rsid w:val="00B877C7"/>
    <w:rsid w:val="00B94ED6"/>
    <w:rsid w:val="00BA2327"/>
    <w:rsid w:val="00C142BF"/>
    <w:rsid w:val="00D965D5"/>
    <w:rsid w:val="00E201F1"/>
    <w:rsid w:val="00ED7DE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4ED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350001"/>
    <w:pPr>
      <w:ind w:left="720"/>
      <w:contextualSpacing/>
    </w:pPr>
  </w:style>
  <w:style w:type="paragraph" w:styleId="NormalWeb">
    <w:name w:val="Normal (Web)"/>
    <w:basedOn w:val="Normal"/>
    <w:uiPriority w:val="99"/>
    <w:semiHidden/>
    <w:unhideWhenUsed/>
    <w:rsid w:val="00350001"/>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1702F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702FD"/>
    <w:rPr>
      <w:rFonts w:ascii="Tahoma" w:hAnsi="Tahoma" w:cs="Tahoma"/>
      <w:sz w:val="16"/>
      <w:szCs w:val="16"/>
    </w:rPr>
  </w:style>
  <w:style w:type="character" w:styleId="Lienhypertexte">
    <w:name w:val="Hyperlink"/>
    <w:basedOn w:val="Policepardfaut"/>
    <w:uiPriority w:val="99"/>
    <w:semiHidden/>
    <w:unhideWhenUsed/>
    <w:rsid w:val="001702FD"/>
    <w:rPr>
      <w:color w:val="0000FF"/>
      <w:u w:val="single"/>
    </w:rPr>
  </w:style>
  <w:style w:type="paragraph" w:styleId="En-tte">
    <w:name w:val="header"/>
    <w:basedOn w:val="Normal"/>
    <w:link w:val="En-tteCar"/>
    <w:uiPriority w:val="99"/>
    <w:unhideWhenUsed/>
    <w:rsid w:val="002A7C58"/>
    <w:pPr>
      <w:tabs>
        <w:tab w:val="center" w:pos="4536"/>
        <w:tab w:val="right" w:pos="9072"/>
      </w:tabs>
      <w:spacing w:after="0" w:line="240" w:lineRule="auto"/>
    </w:pPr>
  </w:style>
  <w:style w:type="character" w:customStyle="1" w:styleId="En-tteCar">
    <w:name w:val="En-tête Car"/>
    <w:basedOn w:val="Policepardfaut"/>
    <w:link w:val="En-tte"/>
    <w:uiPriority w:val="99"/>
    <w:rsid w:val="002A7C58"/>
  </w:style>
  <w:style w:type="paragraph" w:styleId="Pieddepage">
    <w:name w:val="footer"/>
    <w:basedOn w:val="Normal"/>
    <w:link w:val="PieddepageCar"/>
    <w:uiPriority w:val="99"/>
    <w:semiHidden/>
    <w:unhideWhenUsed/>
    <w:rsid w:val="002A7C58"/>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2A7C58"/>
  </w:style>
</w:styles>
</file>

<file path=word/webSettings.xml><?xml version="1.0" encoding="utf-8"?>
<w:webSettings xmlns:r="http://schemas.openxmlformats.org/officeDocument/2006/relationships" xmlns:w="http://schemas.openxmlformats.org/wordprocessingml/2006/main">
  <w:divs>
    <w:div w:id="305742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r.wikipedia.org/wiki/Mortier_et_pilon"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s://fr.wikipedia.org/wiki/Japon"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hyperlink" Target="https://fr.wikipedia.org"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r.wikipedia.org/wiki/Phytoth%C3%A9rapie" TargetMode="External"/><Relationship Id="rId24" Type="http://schemas.openxmlformats.org/officeDocument/2006/relationships/image" Target="media/image13.png"/><Relationship Id="rId32" Type="http://schemas.openxmlformats.org/officeDocument/2006/relationships/hyperlink" Target="http://facsct.univ-annaba.dz/?p=3462"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hyperlink" Target="https://fr.wikipedia.org/wiki/Broyage"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hyperlink" Target="https://fr.wikipedia.org/wiki/Yagen"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351</TotalTime>
  <Pages>1</Pages>
  <Words>1754</Words>
  <Characters>9652</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Bureau</dc:creator>
  <cp:lastModifiedBy>ACER</cp:lastModifiedBy>
  <cp:revision>7</cp:revision>
  <dcterms:created xsi:type="dcterms:W3CDTF">2019-06-12T15:59:00Z</dcterms:created>
  <dcterms:modified xsi:type="dcterms:W3CDTF">2020-03-23T09:01:00Z</dcterms:modified>
</cp:coreProperties>
</file>